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75D8D">
      <w:pPr>
        <w:pBdr>
          <w:bottom w:val="single" w:color="000000" w:sz="12" w:space="6"/>
        </w:pBdr>
        <w:spacing w:after="140"/>
        <w:jc w:val="center"/>
      </w:pPr>
      <w:r>
        <w:rPr>
          <w:rFonts w:ascii="黑体" w:hAnsi="黑体" w:eastAsia="黑体" w:cs="黑体"/>
          <w:b/>
          <w:bCs/>
          <w:color w:val="000000"/>
          <w:sz w:val="32"/>
          <w:szCs w:val="32"/>
        </w:rPr>
        <w:t>几何鸟家居定制产品购货合同书</w:t>
      </w:r>
    </w:p>
    <w:tbl>
      <w:tblPr>
        <w:tblStyle w:val="11"/>
        <w:tblW w:w="9524" w:type="dxa"/>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 w:type="dxa"/>
          <w:bottom w:w="0" w:type="dxa"/>
          <w:right w:w="10" w:type="dxa"/>
        </w:tblCellMar>
      </w:tblPr>
      <w:tblGrid>
        <w:gridCol w:w="9524"/>
      </w:tblGrid>
      <w:tr w14:paraId="0C02EFB3">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9524" w:type="dxa"/>
            <w:shd w:val="clear" w:color="auto" w:fill="F2F2F2"/>
            <w:tcMar>
              <w:top w:w="100" w:type="dxa"/>
              <w:left w:w="160" w:type="dxa"/>
              <w:bottom w:w="100" w:type="dxa"/>
              <w:right w:w="160" w:type="dxa"/>
            </w:tcMar>
          </w:tcPr>
          <w:p w14:paraId="5EA627C2">
            <w:pPr>
              <w:spacing w:after="50"/>
              <w:jc w:val="center"/>
            </w:pPr>
            <w:r>
              <w:rPr>
                <w:rFonts w:ascii="黑体" w:hAnsi="黑体" w:eastAsia="黑体" w:cs="黑体"/>
                <w:b/>
                <w:bCs/>
                <w:color w:val="000000"/>
                <w:sz w:val="19"/>
                <w:szCs w:val="19"/>
              </w:rPr>
              <w:t>电子签约效力声明</w:t>
            </w:r>
          </w:p>
          <w:p w14:paraId="752418B6">
            <w:pPr>
              <w:spacing w:after="40"/>
            </w:pPr>
            <w:r>
              <w:rPr>
                <w:color w:val="333333"/>
                <w:sz w:val="16"/>
                <w:szCs w:val="16"/>
              </w:rPr>
              <w:t>本合同经由腾讯电子签平台签署，采用国家认证的 CA 数字证书及区块链存证技术。根据《中华人民共和国民法典》与《中华人民共和国电子签名法》，本电子合同与传统纸质合同具有同等法律效力。</w:t>
            </w:r>
          </w:p>
          <w:p w14:paraId="302F1B28">
            <w:r>
              <w:rPr>
                <w:color w:val="333333"/>
                <w:sz w:val="16"/>
                <w:szCs w:val="16"/>
              </w:rPr>
              <w:t>注：电子签约技术已保障文档内容完整性与防篡改能力，因此无需进行逐页签字、盖骑缝章或</w:t>
            </w:r>
            <w:r>
              <w:rPr>
                <w:rFonts w:hint="eastAsia"/>
                <w:color w:val="333333"/>
                <w:sz w:val="16"/>
                <w:szCs w:val="16"/>
                <w:lang w:val="en-US" w:eastAsia="zh-CN"/>
              </w:rPr>
              <w:t>标注小</w:t>
            </w:r>
            <w:r>
              <w:rPr>
                <w:color w:val="333333"/>
                <w:sz w:val="16"/>
                <w:szCs w:val="16"/>
              </w:rPr>
              <w:t>写大写金额，请您放心签署。</w:t>
            </w:r>
          </w:p>
        </w:tc>
      </w:tr>
    </w:tbl>
    <w:p w14:paraId="6009012B">
      <w:pPr>
        <w:spacing w:before="80" w:after="60"/>
        <w:jc w:val="right"/>
        <w:rPr>
          <w:rFonts w:hint="default" w:eastAsia="宋体"/>
          <w:color w:val="0000FF"/>
          <w:lang w:val="en-US" w:eastAsia="zh-CN"/>
        </w:rPr>
      </w:pPr>
      <w:r>
        <w:t>合同编号：JHN-BJ-G(S)-</w:t>
      </w:r>
      <w:r>
        <w:rPr>
          <w:rFonts w:hint="eastAsia"/>
          <w:color w:val="0000FF"/>
          <w:lang w:val="en-US" w:eastAsia="zh-CN"/>
        </w:rPr>
        <w:t>2082</w:t>
      </w:r>
    </w:p>
    <w:p w14:paraId="5D2D4AAC">
      <w:pPr>
        <w:spacing w:after="50" w:line="252" w:lineRule="auto"/>
      </w:pPr>
      <w:r>
        <w:t>甲方</w:t>
      </w:r>
      <w:r>
        <w:rPr>
          <w:rFonts w:hint="eastAsia"/>
          <w:lang w:eastAsia="zh-CN"/>
        </w:rPr>
        <w:t>（</w:t>
      </w:r>
      <w:r>
        <w:t>委托定制方</w:t>
      </w:r>
      <w:r>
        <w:rPr>
          <w:rFonts w:hint="eastAsia"/>
          <w:lang w:eastAsia="zh-CN"/>
        </w:rPr>
        <w:t>）</w:t>
      </w:r>
      <w:r>
        <w:t>：</w:t>
      </w:r>
      <w:r>
        <w:rPr>
          <w:rFonts w:hint="eastAsia"/>
        </w:rPr>
        <w:t>北京泉新高品科贸有限责任公司</w:t>
      </w:r>
    </w:p>
    <w:p w14:paraId="14D500EE">
      <w:pPr>
        <w:spacing w:after="50" w:line="252" w:lineRule="auto"/>
        <w:rPr>
          <w:color w:val="0000FF"/>
        </w:rPr>
      </w:pPr>
      <w:r>
        <w:rPr>
          <w:color w:val="0000FF"/>
        </w:rPr>
        <w:t>地址：</w:t>
      </w:r>
      <w:r>
        <w:rPr>
          <w:rFonts w:hint="eastAsia"/>
          <w:color w:val="0000FF"/>
        </w:rPr>
        <w:t>北京市朝阳区建国门外大街乙12号4层西塔401A单元</w:t>
      </w:r>
    </w:p>
    <w:p w14:paraId="133E90E4">
      <w:pPr>
        <w:spacing w:after="50" w:line="252" w:lineRule="auto"/>
        <w:rPr>
          <w:color w:val="0000FF"/>
        </w:rPr>
      </w:pPr>
      <w:r>
        <w:rPr>
          <w:color w:val="0000FF"/>
        </w:rPr>
        <w:t>电话：</w:t>
      </w:r>
      <w:r>
        <w:rPr>
          <w:rFonts w:hint="eastAsia"/>
          <w:color w:val="0000FF"/>
        </w:rPr>
        <w:t>17301208072</w:t>
      </w:r>
    </w:p>
    <w:p w14:paraId="46C6423C">
      <w:pPr>
        <w:spacing w:after="50" w:line="252" w:lineRule="auto"/>
      </w:pPr>
    </w:p>
    <w:p w14:paraId="2D606773">
      <w:pPr>
        <w:spacing w:after="50" w:line="252" w:lineRule="auto"/>
      </w:pPr>
      <w:r>
        <w:t>乙方：北京几何鸟家居有限公司（定制生产安装方）</w:t>
      </w:r>
    </w:p>
    <w:p w14:paraId="6A75113E">
      <w:pPr>
        <w:spacing w:after="50" w:line="252" w:lineRule="auto"/>
        <w:rPr>
          <w:rFonts w:hint="eastAsia" w:eastAsia="宋体"/>
          <w:color w:val="0000FF"/>
          <w:lang w:val="en-US" w:eastAsia="zh-CN"/>
        </w:rPr>
      </w:pPr>
      <w:r>
        <w:rPr>
          <w:color w:val="0000FF"/>
        </w:rPr>
        <w:t>法定代表人：</w:t>
      </w:r>
      <w:r>
        <w:rPr>
          <w:rFonts w:hint="eastAsia"/>
          <w:color w:val="0000FF"/>
          <w:lang w:val="en-US" w:eastAsia="zh-CN"/>
        </w:rPr>
        <w:t>朱辉</w:t>
      </w:r>
    </w:p>
    <w:p w14:paraId="782F2914">
      <w:pPr>
        <w:spacing w:after="50" w:line="252" w:lineRule="auto"/>
        <w:rPr>
          <w:rFonts w:hint="default" w:eastAsia="宋体"/>
          <w:color w:val="0000FF"/>
          <w:lang w:val="en-US" w:eastAsia="zh-CN"/>
        </w:rPr>
      </w:pPr>
      <w:r>
        <w:rPr>
          <w:color w:val="0000FF"/>
        </w:rPr>
        <w:t>地址：</w:t>
      </w:r>
      <w:r>
        <w:rPr>
          <w:rFonts w:hint="eastAsia"/>
          <w:color w:val="0000FF"/>
          <w:lang w:val="en-US" w:eastAsia="zh-CN"/>
        </w:rPr>
        <w:t>北京市朝阳区东大桥8号1楼2层218室</w:t>
      </w:r>
    </w:p>
    <w:p w14:paraId="579E92EA">
      <w:pPr>
        <w:spacing w:after="50" w:line="252" w:lineRule="auto"/>
        <w:rPr>
          <w:rFonts w:hint="default" w:eastAsia="宋体"/>
          <w:color w:val="0000FF"/>
          <w:lang w:val="en-US" w:eastAsia="zh-CN"/>
        </w:rPr>
      </w:pPr>
      <w:r>
        <w:rPr>
          <w:color w:val="0000FF"/>
        </w:rPr>
        <w:t>电话：</w:t>
      </w:r>
      <w:r>
        <w:rPr>
          <w:rFonts w:hint="eastAsia"/>
          <w:color w:val="0000FF"/>
          <w:lang w:val="en-US" w:eastAsia="zh-CN"/>
        </w:rPr>
        <w:t>13681540231</w:t>
      </w:r>
      <w:bookmarkStart w:id="0" w:name="_GoBack"/>
      <w:bookmarkEnd w:id="0"/>
    </w:p>
    <w:p w14:paraId="16320F8C">
      <w:pPr>
        <w:spacing w:after="50" w:line="252" w:lineRule="auto"/>
      </w:pPr>
    </w:p>
    <w:p w14:paraId="2EF8C63E">
      <w:pPr>
        <w:spacing w:after="50" w:line="252" w:lineRule="auto"/>
      </w:pPr>
    </w:p>
    <w:p w14:paraId="0382E5CA">
      <w:pPr>
        <w:spacing w:after="50" w:line="252" w:lineRule="auto"/>
      </w:pPr>
      <w:r>
        <w:t>依照《中华人民共和国民法典》及相关法律、法规，甲乙双方就乙方为甲方提供定制家具设计、生产、安装服务事宜，本着平等、自愿、公平、诚实信用原则，经友好协商，达成如下约定：</w:t>
      </w:r>
    </w:p>
    <w:p w14:paraId="7735837E">
      <w:pPr>
        <w:keepNext/>
        <w:pBdr>
          <w:left w:val="single" w:color="000000" w:sz="18" w:space="6"/>
        </w:pBdr>
        <w:shd w:val="clear" w:color="auto" w:fill="F2F2F2"/>
        <w:spacing w:before="140" w:after="60"/>
      </w:pPr>
      <w:r>
        <w:rPr>
          <w:rFonts w:ascii="黑体" w:hAnsi="黑体" w:eastAsia="黑体" w:cs="黑体"/>
          <w:b/>
          <w:bCs/>
          <w:color w:val="000000"/>
          <w:sz w:val="21"/>
          <w:szCs w:val="21"/>
        </w:rPr>
        <w:t>一、订货内容</w:t>
      </w:r>
    </w:p>
    <w:p w14:paraId="34037E25">
      <w:pPr>
        <w:spacing w:after="50" w:line="252" w:lineRule="auto"/>
      </w:pPr>
      <w:r>
        <w:t>订货内容详见附件《购货清单》。</w:t>
      </w:r>
    </w:p>
    <w:p w14:paraId="246D32FF">
      <w:pPr>
        <w:spacing w:after="50" w:line="252" w:lineRule="auto"/>
      </w:pPr>
      <w:r>
        <w:t>设计图纸是本合同书重要组成部分，与合同书具有同等法律效力。合同签署</w:t>
      </w:r>
      <w:r>
        <w:rPr>
          <w:rFonts w:hint="eastAsia"/>
          <w:lang w:val="en-US" w:eastAsia="zh-CN"/>
        </w:rPr>
        <w:t>且</w:t>
      </w:r>
      <w:r>
        <w:t>图纸确认完成后，甲乙任何一方不得单方变更图纸方案；确需变更的，双方须签订《设计变更单》并重新出具图纸签字盖章确认。未经双方书面确认擅自变更图纸的，由此产生的新增材料费、人工费、工期延误损失全部由擅自变更方承担。</w:t>
      </w:r>
    </w:p>
    <w:p w14:paraId="75625C39">
      <w:pPr>
        <w:keepNext/>
        <w:pBdr>
          <w:left w:val="single" w:color="000000" w:sz="18" w:space="6"/>
        </w:pBdr>
        <w:shd w:val="clear" w:color="auto" w:fill="F2F2F2"/>
        <w:spacing w:before="140" w:after="60"/>
      </w:pPr>
      <w:r>
        <w:rPr>
          <w:rFonts w:ascii="黑体" w:hAnsi="黑体" w:eastAsia="黑体" w:cs="黑体"/>
          <w:b/>
          <w:bCs/>
          <w:color w:val="000000"/>
          <w:sz w:val="21"/>
          <w:szCs w:val="21"/>
        </w:rPr>
        <w:t>二、付款方式及甲乙双方基本情况</w:t>
      </w:r>
    </w:p>
    <w:p w14:paraId="7BB87064">
      <w:pPr>
        <w:spacing w:after="50" w:line="252" w:lineRule="auto"/>
      </w:pPr>
      <w:r>
        <w:t>本合同产品为专属定制商品，付款分三期执行，</w:t>
      </w:r>
      <w:r>
        <w:rPr>
          <w:rFonts w:hint="eastAsia"/>
          <w:lang w:val="en-US" w:eastAsia="zh-CN"/>
        </w:rPr>
        <w:t>不含税</w:t>
      </w:r>
      <w:r>
        <w:t>计人民币【</w:t>
      </w:r>
      <w:r>
        <w:rPr>
          <w:rFonts w:hint="eastAsia"/>
          <w:lang w:val="en-US" w:eastAsia="zh-CN"/>
        </w:rPr>
        <w:t>96000</w:t>
      </w:r>
      <w:r>
        <w:t>】</w:t>
      </w:r>
      <w:r>
        <w:rPr>
          <w:sz w:val="18"/>
          <w:szCs w:val="18"/>
        </w:rPr>
        <w:t>元</w:t>
      </w:r>
      <w:r>
        <w:rPr>
          <w:rFonts w:hint="eastAsia"/>
          <w:sz w:val="18"/>
          <w:szCs w:val="18"/>
          <w:lang w:eastAsia="zh-CN"/>
        </w:rPr>
        <w:t>，</w:t>
      </w:r>
      <w:r>
        <w:rPr>
          <w:rFonts w:hint="eastAsia"/>
          <w:sz w:val="18"/>
          <w:szCs w:val="18"/>
          <w:lang w:val="en-US" w:eastAsia="zh-CN"/>
        </w:rPr>
        <w:t>大写：【</w:t>
      </w:r>
      <w:r>
        <w:rPr>
          <w:rFonts w:ascii="Arial" w:hAnsi="Arial" w:eastAsia="宋体" w:cs="Arial"/>
          <w:i w:val="0"/>
          <w:iCs w:val="0"/>
          <w:caps w:val="0"/>
          <w:color w:val="000000"/>
          <w:spacing w:val="0"/>
          <w:sz w:val="18"/>
          <w:szCs w:val="18"/>
          <w:shd w:val="clear" w:fill="FFFFFF"/>
        </w:rPr>
        <w:t>玖万陆仟</w:t>
      </w:r>
      <w:r>
        <w:rPr>
          <w:rFonts w:hint="eastAsia" w:ascii="Arial" w:hAnsi="Arial" w:cs="Arial"/>
          <w:i w:val="0"/>
          <w:iCs w:val="0"/>
          <w:caps w:val="0"/>
          <w:color w:val="000000"/>
          <w:spacing w:val="0"/>
          <w:sz w:val="18"/>
          <w:szCs w:val="18"/>
          <w:shd w:val="clear" w:fill="FFFFFF"/>
          <w:lang w:val="en-US" w:eastAsia="zh-CN"/>
        </w:rPr>
        <w:t>元</w:t>
      </w:r>
      <w:r>
        <w:rPr>
          <w:rFonts w:hint="eastAsia"/>
          <w:sz w:val="18"/>
          <w:szCs w:val="18"/>
          <w:lang w:val="en-US" w:eastAsia="zh-CN"/>
        </w:rPr>
        <w:t>圆整】</w:t>
      </w:r>
      <w:r>
        <w:rPr>
          <w:rFonts w:hint="eastAsia"/>
          <w:lang w:eastAsia="zh-CN"/>
        </w:rPr>
        <w:t>，</w:t>
      </w:r>
      <w:r>
        <w:rPr>
          <w:rFonts w:hint="eastAsia"/>
          <w:lang w:val="en-US" w:eastAsia="zh-CN"/>
        </w:rPr>
        <w:t>增值税专用发票3%税点，全部价款含税合计人民币</w:t>
      </w:r>
      <w:r>
        <w:t>【</w:t>
      </w:r>
      <w:r>
        <w:rPr>
          <w:rFonts w:hint="eastAsia"/>
          <w:lang w:val="en-US" w:eastAsia="zh-CN"/>
        </w:rPr>
        <w:t>98880</w:t>
      </w:r>
      <w:r>
        <w:t>】元</w:t>
      </w:r>
      <w:r>
        <w:rPr>
          <w:rFonts w:hint="eastAsia"/>
          <w:lang w:eastAsia="zh-CN"/>
        </w:rPr>
        <w:t>，</w:t>
      </w:r>
      <w:r>
        <w:rPr>
          <w:rFonts w:hint="eastAsia"/>
          <w:lang w:val="en-US" w:eastAsia="zh-CN"/>
        </w:rPr>
        <w:t>大写：【</w:t>
      </w:r>
      <w:r>
        <w:rPr>
          <w:rFonts w:hint="eastAsia" w:ascii="Arial" w:hAnsi="Arial" w:eastAsia="宋体" w:cs="Arial"/>
          <w:i w:val="0"/>
          <w:iCs w:val="0"/>
          <w:caps w:val="0"/>
          <w:color w:val="000000"/>
          <w:spacing w:val="0"/>
          <w:sz w:val="18"/>
          <w:szCs w:val="18"/>
          <w:u w:val="none"/>
          <w:shd w:val="clear" w:fill="FFFFFF"/>
        </w:rPr>
        <w:t>玖万捌仟捌佰捌拾圆</w:t>
      </w:r>
      <w:r>
        <w:rPr>
          <w:rFonts w:hint="eastAsia" w:ascii="Arial" w:hAnsi="Arial" w:cs="Arial"/>
          <w:i w:val="0"/>
          <w:iCs w:val="0"/>
          <w:caps w:val="0"/>
          <w:color w:val="000000"/>
          <w:spacing w:val="0"/>
          <w:sz w:val="18"/>
          <w:szCs w:val="18"/>
          <w:u w:val="none"/>
          <w:shd w:val="clear" w:fill="FFFFFF"/>
          <w:lang w:val="en-US" w:eastAsia="zh-CN"/>
        </w:rPr>
        <w:t>整】</w:t>
      </w:r>
      <w:r>
        <w:t>。</w:t>
      </w:r>
    </w:p>
    <w:p w14:paraId="35BB1006">
      <w:pPr>
        <w:spacing w:after="50" w:line="252" w:lineRule="auto"/>
        <w:ind w:left="300" w:hanging="300"/>
      </w:pPr>
      <w:r>
        <w:t>1. 合同签订当日，甲方支付总货款 80% 作为生产首付款，计人民币【</w:t>
      </w:r>
      <w:r>
        <w:rPr>
          <w:rFonts w:hint="eastAsia"/>
          <w:lang w:val="en-US" w:eastAsia="zh-CN"/>
        </w:rPr>
        <w:t>79104</w:t>
      </w:r>
      <w:r>
        <w:t>】元</w:t>
      </w:r>
      <w:r>
        <w:rPr>
          <w:rFonts w:hint="eastAsia"/>
          <w:lang w:eastAsia="zh-CN"/>
        </w:rPr>
        <w:t>，</w:t>
      </w:r>
      <w:r>
        <w:rPr>
          <w:rFonts w:hint="eastAsia"/>
          <w:lang w:val="en-US" w:eastAsia="zh-CN"/>
        </w:rPr>
        <w:t>大写：【柒万玖仟壹佰零肆圆整】</w:t>
      </w:r>
      <w:r>
        <w:rPr>
          <w:rFonts w:hint="eastAsia"/>
          <w:lang w:eastAsia="zh-CN"/>
        </w:rPr>
        <w:t>（</w:t>
      </w:r>
      <w:r>
        <w:rPr>
          <w:rFonts w:hint="eastAsia"/>
          <w:lang w:val="en-US" w:eastAsia="zh-CN"/>
        </w:rPr>
        <w:t>含税金额</w:t>
      </w:r>
      <w:r>
        <w:rPr>
          <w:rFonts w:hint="eastAsia"/>
          <w:lang w:eastAsia="zh-CN"/>
        </w:rPr>
        <w:t>）。</w:t>
      </w:r>
      <w:r>
        <w:t>乙方收到首付款及确认图纸后启动生产排期。</w:t>
      </w:r>
    </w:p>
    <w:p w14:paraId="2F647E6A">
      <w:pPr>
        <w:spacing w:after="50" w:line="252" w:lineRule="auto"/>
        <w:ind w:left="300" w:hanging="300"/>
        <w:rPr>
          <w:color w:val="0000FF"/>
        </w:rPr>
      </w:pPr>
      <w:r>
        <w:rPr>
          <w:color w:val="0000FF"/>
        </w:rPr>
        <w:t>2. 产品</w:t>
      </w:r>
      <w:r>
        <w:rPr>
          <w:rFonts w:hint="eastAsia"/>
          <w:color w:val="0000FF"/>
          <w:lang w:val="en-US" w:eastAsia="zh-CN"/>
        </w:rPr>
        <w:t>安装完成后</w:t>
      </w:r>
      <w:r>
        <w:rPr>
          <w:color w:val="0000FF"/>
        </w:rPr>
        <w:t>甲方支付总货款 15% 中期款，计人民币【</w:t>
      </w:r>
      <w:r>
        <w:rPr>
          <w:rFonts w:hint="eastAsia"/>
          <w:color w:val="0000FF"/>
          <w:lang w:val="en-US" w:eastAsia="zh-CN"/>
        </w:rPr>
        <w:t>14832</w:t>
      </w:r>
      <w:r>
        <w:rPr>
          <w:color w:val="0000FF"/>
        </w:rPr>
        <w:t>】</w:t>
      </w:r>
      <w:r>
        <w:rPr>
          <w:rFonts w:hint="eastAsia"/>
          <w:color w:val="0000FF"/>
          <w:lang w:val="en-US" w:eastAsia="zh-CN"/>
        </w:rPr>
        <w:t>元，大写：【壹万肆仟捌佰叁拾贰圆整】</w:t>
      </w:r>
      <w:r>
        <w:rPr>
          <w:rFonts w:hint="eastAsia"/>
          <w:lang w:eastAsia="zh-CN"/>
        </w:rPr>
        <w:t>（</w:t>
      </w:r>
      <w:r>
        <w:rPr>
          <w:rFonts w:hint="eastAsia"/>
          <w:lang w:val="en-US" w:eastAsia="zh-CN"/>
        </w:rPr>
        <w:t>含税金额</w:t>
      </w:r>
      <w:r>
        <w:rPr>
          <w:rFonts w:hint="eastAsia"/>
          <w:lang w:eastAsia="zh-CN"/>
        </w:rPr>
        <w:t>）</w:t>
      </w:r>
      <w:r>
        <w:rPr>
          <w:rFonts w:hint="eastAsia"/>
          <w:color w:val="0000FF"/>
          <w:lang w:eastAsia="zh-CN"/>
        </w:rPr>
        <w:t>。</w:t>
      </w:r>
    </w:p>
    <w:p w14:paraId="3A9A8051">
      <w:pPr>
        <w:spacing w:after="50" w:line="252" w:lineRule="auto"/>
        <w:ind w:left="300" w:hanging="300"/>
        <w:rPr>
          <w:color w:val="0000FF"/>
        </w:rPr>
      </w:pPr>
      <w:r>
        <w:rPr>
          <w:color w:val="0000FF"/>
        </w:rPr>
        <w:t xml:space="preserve">3. </w:t>
      </w:r>
      <w:r>
        <w:rPr>
          <w:rFonts w:hint="eastAsia"/>
          <w:color w:val="0000FF"/>
          <w:lang w:val="en-US" w:eastAsia="zh-CN"/>
        </w:rPr>
        <w:t>剩余</w:t>
      </w:r>
      <w:r>
        <w:rPr>
          <w:color w:val="0000FF"/>
        </w:rPr>
        <w:t>5%</w:t>
      </w:r>
      <w:r>
        <w:rPr>
          <w:rFonts w:hint="eastAsia"/>
          <w:color w:val="0000FF"/>
          <w:lang w:val="en-US" w:eastAsia="zh-CN"/>
        </w:rPr>
        <w:t>尾</w:t>
      </w:r>
      <w:r>
        <w:rPr>
          <w:color w:val="0000FF"/>
        </w:rPr>
        <w:t>款</w:t>
      </w:r>
      <w:r>
        <w:rPr>
          <w:rFonts w:hint="eastAsia"/>
          <w:color w:val="0000FF"/>
          <w:lang w:eastAsia="zh-CN"/>
        </w:rPr>
        <w:t>，</w:t>
      </w:r>
      <w:r>
        <w:rPr>
          <w:color w:val="0000FF"/>
        </w:rPr>
        <w:t>计人民币【</w:t>
      </w:r>
      <w:r>
        <w:rPr>
          <w:rFonts w:hint="eastAsia"/>
          <w:color w:val="0000FF"/>
          <w:lang w:val="en-US" w:eastAsia="zh-CN"/>
        </w:rPr>
        <w:t>4944</w:t>
      </w:r>
      <w:r>
        <w:rPr>
          <w:color w:val="0000FF"/>
        </w:rPr>
        <w:t>】</w:t>
      </w:r>
      <w:r>
        <w:rPr>
          <w:rFonts w:hint="eastAsia"/>
          <w:color w:val="0000FF"/>
          <w:lang w:val="en-US" w:eastAsia="zh-CN"/>
        </w:rPr>
        <w:t>元，大写</w:t>
      </w:r>
      <w:r>
        <w:rPr>
          <w:rFonts w:hint="eastAsia"/>
          <w:color w:val="0000FF"/>
          <w:u w:val="none"/>
          <w:lang w:val="en-US" w:eastAsia="zh-CN"/>
        </w:rPr>
        <w:t>：【肆仟玖佰肆拾肆圆整】</w:t>
      </w:r>
      <w:r>
        <w:rPr>
          <w:rFonts w:hint="eastAsia"/>
          <w:lang w:eastAsia="zh-CN"/>
        </w:rPr>
        <w:t>（</w:t>
      </w:r>
      <w:r>
        <w:rPr>
          <w:rFonts w:hint="eastAsia"/>
          <w:lang w:val="en-US" w:eastAsia="zh-CN"/>
        </w:rPr>
        <w:t>含税金额</w:t>
      </w:r>
      <w:r>
        <w:rPr>
          <w:rFonts w:hint="eastAsia"/>
          <w:lang w:eastAsia="zh-CN"/>
        </w:rPr>
        <w:t>）</w:t>
      </w:r>
      <w:r>
        <w:rPr>
          <w:rFonts w:hint="eastAsia"/>
          <w:color w:val="0000FF"/>
          <w:lang w:eastAsia="zh-CN"/>
        </w:rPr>
        <w:t>。</w:t>
      </w:r>
      <w:r>
        <w:rPr>
          <w:color w:val="0000FF"/>
        </w:rPr>
        <w:t>作为质保金，待本合同项下家居使用</w:t>
      </w:r>
      <w:r>
        <w:rPr>
          <w:rFonts w:hint="eastAsia"/>
          <w:color w:val="0000FF"/>
          <w:lang w:val="en-US" w:eastAsia="zh-CN"/>
        </w:rPr>
        <w:t>一</w:t>
      </w:r>
      <w:r>
        <w:rPr>
          <w:color w:val="0000FF"/>
        </w:rPr>
        <w:t>年后，无因乙方家居自身产生的质量问题，甲方无息支付乙方。</w:t>
      </w:r>
    </w:p>
    <w:p w14:paraId="5449CE1A">
      <w:pPr>
        <w:spacing w:after="40" w:line="252" w:lineRule="auto"/>
      </w:pPr>
      <w:r>
        <w:rPr>
          <w:b/>
          <w:bCs/>
        </w:rPr>
        <w:t>甲方基本信息</w:t>
      </w:r>
    </w:p>
    <w:tbl>
      <w:tblPr>
        <w:tblStyle w:val="11"/>
        <w:tblW w:w="9524" w:type="dxa"/>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Layout w:type="autofit"/>
        <w:tblCellMar>
          <w:top w:w="0" w:type="dxa"/>
          <w:left w:w="10" w:type="dxa"/>
          <w:bottom w:w="0" w:type="dxa"/>
          <w:right w:w="10" w:type="dxa"/>
        </w:tblCellMar>
      </w:tblPr>
      <w:tblGrid>
        <w:gridCol w:w="1700"/>
        <w:gridCol w:w="2900"/>
        <w:gridCol w:w="2300"/>
        <w:gridCol w:w="2624"/>
      </w:tblGrid>
      <w:tr w14:paraId="0E656C2B">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1700" w:type="dxa"/>
            <w:shd w:val="clear" w:color="auto" w:fill="F2F2F2"/>
            <w:tcMar>
              <w:top w:w="50" w:type="dxa"/>
              <w:left w:w="120" w:type="dxa"/>
              <w:bottom w:w="50" w:type="dxa"/>
              <w:right w:w="100" w:type="dxa"/>
            </w:tcMar>
            <w:vAlign w:val="center"/>
          </w:tcPr>
          <w:p w14:paraId="08099608">
            <w:pPr>
              <w:rPr>
                <w:rFonts w:hint="default" w:eastAsia="宋体"/>
                <w:lang w:val="en-US" w:eastAsia="zh-CN"/>
              </w:rPr>
            </w:pPr>
            <w:r>
              <w:rPr>
                <w:b/>
                <w:bCs/>
              </w:rPr>
              <w:t>甲方</w:t>
            </w:r>
            <w:r>
              <w:rPr>
                <w:rFonts w:hint="eastAsia"/>
                <w:b/>
                <w:bCs/>
                <w:lang w:val="en-US" w:eastAsia="zh-CN"/>
              </w:rPr>
              <w:t>公司名称</w:t>
            </w:r>
          </w:p>
        </w:tc>
        <w:tc>
          <w:tcPr>
            <w:tcW w:w="2900" w:type="dxa"/>
            <w:tcMar>
              <w:top w:w="50" w:type="dxa"/>
              <w:left w:w="120" w:type="dxa"/>
              <w:bottom w:w="50" w:type="dxa"/>
              <w:right w:w="100" w:type="dxa"/>
            </w:tcMar>
            <w:vAlign w:val="center"/>
          </w:tcPr>
          <w:p w14:paraId="40EA9310">
            <w:r>
              <w:rPr>
                <w:rFonts w:hint="eastAsia"/>
              </w:rPr>
              <w:t>北京泉新高品科贸有限责任公司</w:t>
            </w:r>
          </w:p>
        </w:tc>
        <w:tc>
          <w:tcPr>
            <w:tcW w:w="2300" w:type="dxa"/>
            <w:shd w:val="clear" w:color="auto" w:fill="F2F2F2"/>
            <w:tcMar>
              <w:top w:w="50" w:type="dxa"/>
              <w:left w:w="120" w:type="dxa"/>
              <w:bottom w:w="50" w:type="dxa"/>
              <w:right w:w="100" w:type="dxa"/>
            </w:tcMar>
            <w:vAlign w:val="center"/>
          </w:tcPr>
          <w:p w14:paraId="1AE78D0B">
            <w:pPr>
              <w:rPr>
                <w:rFonts w:hint="default" w:eastAsia="宋体"/>
                <w:lang w:val="en-US" w:eastAsia="zh-CN"/>
              </w:rPr>
            </w:pPr>
            <w:r>
              <w:rPr>
                <w:rFonts w:hint="eastAsia"/>
                <w:b/>
                <w:bCs/>
                <w:lang w:val="en-US" w:eastAsia="zh-CN"/>
              </w:rPr>
              <w:t>联系人姓名</w:t>
            </w:r>
          </w:p>
        </w:tc>
        <w:tc>
          <w:tcPr>
            <w:tcW w:w="2624" w:type="dxa"/>
            <w:tcMar>
              <w:top w:w="50" w:type="dxa"/>
              <w:left w:w="120" w:type="dxa"/>
              <w:bottom w:w="50" w:type="dxa"/>
              <w:right w:w="100" w:type="dxa"/>
            </w:tcMar>
            <w:vAlign w:val="center"/>
          </w:tcPr>
          <w:p w14:paraId="369A4E88">
            <w:pPr>
              <w:rPr>
                <w:rFonts w:hint="default" w:eastAsia="宋体"/>
                <w:lang w:val="en-US" w:eastAsia="zh-CN"/>
              </w:rPr>
            </w:pPr>
            <w:r>
              <w:rPr>
                <w:rFonts w:hint="eastAsia"/>
                <w:lang w:val="en-US" w:eastAsia="zh-CN"/>
              </w:rPr>
              <w:t>于胜男</w:t>
            </w:r>
          </w:p>
        </w:tc>
      </w:tr>
      <w:tr w14:paraId="5D8D3B4A">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1700" w:type="dxa"/>
            <w:shd w:val="clear" w:color="auto" w:fill="F2F2F2"/>
            <w:tcMar>
              <w:top w:w="50" w:type="dxa"/>
              <w:left w:w="120" w:type="dxa"/>
              <w:bottom w:w="50" w:type="dxa"/>
              <w:right w:w="100" w:type="dxa"/>
            </w:tcMar>
            <w:vAlign w:val="center"/>
          </w:tcPr>
          <w:p w14:paraId="5E32033C">
            <w:r>
              <w:rPr>
                <w:b/>
                <w:bCs/>
              </w:rPr>
              <w:t>联系电话</w:t>
            </w:r>
          </w:p>
        </w:tc>
        <w:tc>
          <w:tcPr>
            <w:tcW w:w="2900" w:type="dxa"/>
            <w:tcMar>
              <w:top w:w="50" w:type="dxa"/>
              <w:left w:w="120" w:type="dxa"/>
              <w:bottom w:w="50" w:type="dxa"/>
              <w:right w:w="100" w:type="dxa"/>
            </w:tcMar>
            <w:vAlign w:val="center"/>
          </w:tcPr>
          <w:p w14:paraId="71EBFBFC">
            <w:pPr>
              <w:rPr>
                <w:rFonts w:hint="default" w:eastAsia="宋体"/>
                <w:lang w:val="en-US" w:eastAsia="zh-CN"/>
              </w:rPr>
            </w:pPr>
            <w:r>
              <w:rPr>
                <w:rFonts w:hint="eastAsia"/>
                <w:lang w:val="en-US" w:eastAsia="zh-CN"/>
              </w:rPr>
              <w:t>13284050626</w:t>
            </w:r>
          </w:p>
        </w:tc>
        <w:tc>
          <w:tcPr>
            <w:tcW w:w="2300" w:type="dxa"/>
            <w:shd w:val="clear" w:color="auto" w:fill="F2F2F2"/>
            <w:tcMar>
              <w:top w:w="50" w:type="dxa"/>
              <w:left w:w="120" w:type="dxa"/>
              <w:bottom w:w="50" w:type="dxa"/>
              <w:right w:w="100" w:type="dxa"/>
            </w:tcMar>
            <w:vAlign w:val="center"/>
          </w:tcPr>
          <w:p w14:paraId="1B616518">
            <w:pPr>
              <w:rPr>
                <w:rFonts w:hint="eastAsia"/>
              </w:rPr>
            </w:pPr>
            <w:r>
              <w:rPr>
                <w:b/>
                <w:bCs/>
              </w:rPr>
              <w:t>紧急联系人电话（选填</w:t>
            </w:r>
            <w:r>
              <w:rPr>
                <w:rFonts w:hint="eastAsia"/>
                <w:b/>
                <w:bCs/>
              </w:rPr>
              <w:t>）</w:t>
            </w:r>
          </w:p>
        </w:tc>
        <w:tc>
          <w:tcPr>
            <w:tcW w:w="2624" w:type="dxa"/>
            <w:tcMar>
              <w:top w:w="50" w:type="dxa"/>
              <w:left w:w="120" w:type="dxa"/>
              <w:bottom w:w="50" w:type="dxa"/>
              <w:right w:w="100" w:type="dxa"/>
            </w:tcMar>
            <w:vAlign w:val="center"/>
          </w:tcPr>
          <w:p w14:paraId="2D3CB742"/>
        </w:tc>
      </w:tr>
      <w:tr w14:paraId="0DAA8260">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1700" w:type="dxa"/>
            <w:shd w:val="clear" w:color="auto" w:fill="F2F2F2"/>
            <w:tcMar>
              <w:top w:w="50" w:type="dxa"/>
              <w:left w:w="120" w:type="dxa"/>
              <w:bottom w:w="50" w:type="dxa"/>
              <w:right w:w="100" w:type="dxa"/>
            </w:tcMar>
            <w:vAlign w:val="center"/>
          </w:tcPr>
          <w:p w14:paraId="1858E749">
            <w:pPr>
              <w:rPr>
                <w:b/>
                <w:bCs/>
                <w:sz w:val="18"/>
                <w:szCs w:val="18"/>
              </w:rPr>
            </w:pPr>
            <w:r>
              <w:rPr>
                <w:rFonts w:ascii="宋体" w:hAnsi="宋体" w:eastAsia="宋体" w:cs="宋体"/>
                <w:b/>
                <w:bCs/>
                <w:sz w:val="18"/>
                <w:szCs w:val="18"/>
              </w:rPr>
              <w:t>纳税人识别号</w:t>
            </w:r>
          </w:p>
        </w:tc>
        <w:tc>
          <w:tcPr>
            <w:tcW w:w="7824" w:type="dxa"/>
            <w:gridSpan w:val="3"/>
            <w:tcMar>
              <w:top w:w="50" w:type="dxa"/>
              <w:left w:w="120" w:type="dxa"/>
              <w:bottom w:w="50" w:type="dxa"/>
              <w:right w:w="100" w:type="dxa"/>
            </w:tcMar>
            <w:vAlign w:val="center"/>
          </w:tcPr>
          <w:p w14:paraId="0BEB908C">
            <w:pPr>
              <w:ind w:firstLine="180" w:firstLineChars="100"/>
              <w:rPr>
                <w:rFonts w:hint="default" w:eastAsia="宋体"/>
                <w:b w:val="0"/>
                <w:bCs w:val="0"/>
                <w:sz w:val="18"/>
                <w:szCs w:val="18"/>
                <w:lang w:val="en-US" w:eastAsia="zh-CN"/>
              </w:rPr>
            </w:pPr>
            <w:r>
              <w:rPr>
                <w:rFonts w:ascii="宋体" w:hAnsi="宋体" w:eastAsia="宋体" w:cs="宋体"/>
                <w:b w:val="0"/>
                <w:bCs w:val="0"/>
                <w:sz w:val="18"/>
                <w:szCs w:val="18"/>
              </w:rPr>
              <w:t>911101055603884963</w:t>
            </w:r>
            <w:r>
              <w:rPr>
                <w:rFonts w:hint="eastAsia"/>
                <w:b w:val="0"/>
                <w:bCs w:val="0"/>
                <w:sz w:val="18"/>
                <w:szCs w:val="18"/>
                <w:lang w:val="en-US" w:eastAsia="zh-CN"/>
              </w:rPr>
              <w:t xml:space="preserve">                 </w:t>
            </w:r>
          </w:p>
        </w:tc>
      </w:tr>
      <w:tr w14:paraId="650C6022">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1700" w:type="dxa"/>
            <w:shd w:val="clear" w:color="auto" w:fill="F2F2F2"/>
            <w:tcMar>
              <w:top w:w="50" w:type="dxa"/>
              <w:left w:w="120" w:type="dxa"/>
              <w:bottom w:w="50" w:type="dxa"/>
              <w:right w:w="100" w:type="dxa"/>
            </w:tcMar>
            <w:vAlign w:val="center"/>
          </w:tcPr>
          <w:p w14:paraId="6AB34C7D">
            <w:pPr>
              <w:rPr>
                <w:b/>
                <w:bCs/>
                <w:sz w:val="18"/>
                <w:szCs w:val="18"/>
              </w:rPr>
            </w:pPr>
            <w:r>
              <w:rPr>
                <w:rFonts w:ascii="宋体" w:hAnsi="宋体" w:eastAsia="宋体" w:cs="宋体"/>
                <w:b/>
                <w:bCs/>
                <w:sz w:val="18"/>
                <w:szCs w:val="18"/>
              </w:rPr>
              <w:t>地址</w:t>
            </w:r>
          </w:p>
        </w:tc>
        <w:tc>
          <w:tcPr>
            <w:tcW w:w="7824" w:type="dxa"/>
            <w:gridSpan w:val="3"/>
            <w:tcMar>
              <w:top w:w="50" w:type="dxa"/>
              <w:left w:w="120" w:type="dxa"/>
              <w:bottom w:w="50" w:type="dxa"/>
              <w:right w:w="100" w:type="dxa"/>
            </w:tcMar>
            <w:vAlign w:val="center"/>
          </w:tcPr>
          <w:p w14:paraId="24E3785A">
            <w:pPr>
              <w:ind w:firstLine="180" w:firstLineChars="100"/>
              <w:rPr>
                <w:b w:val="0"/>
                <w:bCs w:val="0"/>
                <w:sz w:val="18"/>
                <w:szCs w:val="18"/>
              </w:rPr>
            </w:pPr>
            <w:r>
              <w:rPr>
                <w:rFonts w:ascii="宋体" w:hAnsi="宋体" w:eastAsia="宋体" w:cs="宋体"/>
                <w:b w:val="0"/>
                <w:bCs w:val="0"/>
                <w:sz w:val="18"/>
                <w:szCs w:val="18"/>
              </w:rPr>
              <w:t>北京市朝阳区建国门外大街乙12号4层西塔401A单元</w:t>
            </w:r>
          </w:p>
        </w:tc>
      </w:tr>
      <w:tr w14:paraId="6223D26A">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1700" w:type="dxa"/>
            <w:shd w:val="clear" w:color="auto" w:fill="F2F2F2"/>
            <w:tcMar>
              <w:top w:w="50" w:type="dxa"/>
              <w:left w:w="120" w:type="dxa"/>
              <w:bottom w:w="50" w:type="dxa"/>
              <w:right w:w="100" w:type="dxa"/>
            </w:tcMar>
            <w:vAlign w:val="center"/>
          </w:tcPr>
          <w:p w14:paraId="02520CAE">
            <w:pPr>
              <w:rPr>
                <w:b/>
                <w:bCs/>
                <w:sz w:val="18"/>
                <w:szCs w:val="18"/>
              </w:rPr>
            </w:pPr>
            <w:r>
              <w:rPr>
                <w:rFonts w:ascii="宋体" w:hAnsi="宋体" w:eastAsia="宋体" w:cs="宋体"/>
                <w:b/>
                <w:bCs/>
                <w:sz w:val="18"/>
                <w:szCs w:val="18"/>
              </w:rPr>
              <w:t>开户行</w:t>
            </w:r>
          </w:p>
        </w:tc>
        <w:tc>
          <w:tcPr>
            <w:tcW w:w="7824" w:type="dxa"/>
            <w:gridSpan w:val="3"/>
            <w:tcMar>
              <w:top w:w="50" w:type="dxa"/>
              <w:left w:w="120" w:type="dxa"/>
              <w:bottom w:w="50" w:type="dxa"/>
              <w:right w:w="100" w:type="dxa"/>
            </w:tcMar>
            <w:vAlign w:val="center"/>
          </w:tcPr>
          <w:p w14:paraId="25C69DAC">
            <w:pPr>
              <w:ind w:firstLine="180" w:firstLineChars="100"/>
              <w:rPr>
                <w:b w:val="0"/>
                <w:bCs w:val="0"/>
                <w:sz w:val="18"/>
                <w:szCs w:val="18"/>
              </w:rPr>
            </w:pPr>
            <w:r>
              <w:rPr>
                <w:rFonts w:ascii="宋体" w:hAnsi="宋体" w:eastAsia="宋体" w:cs="宋体"/>
                <w:b w:val="0"/>
                <w:bCs w:val="0"/>
                <w:sz w:val="18"/>
                <w:szCs w:val="18"/>
              </w:rPr>
              <w:t>北京银行北洼路支行</w:t>
            </w:r>
          </w:p>
        </w:tc>
      </w:tr>
      <w:tr w14:paraId="50BAA66D">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1700" w:type="dxa"/>
            <w:shd w:val="clear" w:color="auto" w:fill="F2F2F2"/>
            <w:tcMar>
              <w:top w:w="50" w:type="dxa"/>
              <w:left w:w="120" w:type="dxa"/>
              <w:bottom w:w="50" w:type="dxa"/>
              <w:right w:w="100" w:type="dxa"/>
            </w:tcMar>
            <w:vAlign w:val="center"/>
          </w:tcPr>
          <w:p w14:paraId="5776CECD">
            <w:pPr>
              <w:rPr>
                <w:b/>
                <w:bCs/>
                <w:sz w:val="18"/>
                <w:szCs w:val="18"/>
              </w:rPr>
            </w:pPr>
            <w:r>
              <w:rPr>
                <w:rFonts w:ascii="宋体" w:hAnsi="宋体" w:eastAsia="宋体" w:cs="宋体"/>
                <w:b/>
                <w:bCs/>
                <w:sz w:val="18"/>
                <w:szCs w:val="18"/>
              </w:rPr>
              <w:t>账号</w:t>
            </w:r>
          </w:p>
        </w:tc>
        <w:tc>
          <w:tcPr>
            <w:tcW w:w="7824" w:type="dxa"/>
            <w:gridSpan w:val="3"/>
            <w:tcMar>
              <w:top w:w="50" w:type="dxa"/>
              <w:left w:w="120" w:type="dxa"/>
              <w:bottom w:w="50" w:type="dxa"/>
              <w:right w:w="100" w:type="dxa"/>
            </w:tcMar>
            <w:vAlign w:val="center"/>
          </w:tcPr>
          <w:p w14:paraId="5509D477">
            <w:pPr>
              <w:ind w:firstLine="180" w:firstLineChars="100"/>
              <w:rPr>
                <w:b w:val="0"/>
                <w:bCs w:val="0"/>
                <w:sz w:val="18"/>
                <w:szCs w:val="18"/>
              </w:rPr>
            </w:pPr>
            <w:r>
              <w:rPr>
                <w:rFonts w:ascii="宋体" w:hAnsi="宋体" w:eastAsia="宋体" w:cs="宋体"/>
                <w:b w:val="0"/>
                <w:bCs w:val="0"/>
                <w:sz w:val="18"/>
                <w:szCs w:val="18"/>
              </w:rPr>
              <w:t>01090307400120102092306</w:t>
            </w:r>
          </w:p>
        </w:tc>
      </w:tr>
    </w:tbl>
    <w:p w14:paraId="76D9C3DE">
      <w:pPr>
        <w:spacing w:after="40"/>
      </w:pPr>
    </w:p>
    <w:p w14:paraId="2E1A23FE">
      <w:pPr>
        <w:spacing w:after="40"/>
      </w:pPr>
    </w:p>
    <w:p w14:paraId="224FE523">
      <w:pPr>
        <w:spacing w:after="40"/>
      </w:pPr>
    </w:p>
    <w:p w14:paraId="0388F065">
      <w:pPr>
        <w:spacing w:after="40"/>
      </w:pPr>
    </w:p>
    <w:p w14:paraId="594BFD26">
      <w:pPr>
        <w:spacing w:after="40"/>
      </w:pPr>
    </w:p>
    <w:p w14:paraId="1D82424B">
      <w:pPr>
        <w:spacing w:after="40" w:line="252" w:lineRule="auto"/>
      </w:pPr>
      <w:r>
        <w:rPr>
          <w:b/>
          <w:bCs/>
        </w:rPr>
        <w:t>乙方账户信息</w:t>
      </w:r>
    </w:p>
    <w:tbl>
      <w:tblPr>
        <w:tblStyle w:val="11"/>
        <w:tblW w:w="9524" w:type="dxa"/>
        <w:tblInd w:w="0" w:type="dxa"/>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Layout w:type="autofit"/>
        <w:tblCellMar>
          <w:top w:w="0" w:type="dxa"/>
          <w:left w:w="10" w:type="dxa"/>
          <w:bottom w:w="0" w:type="dxa"/>
          <w:right w:w="10" w:type="dxa"/>
        </w:tblCellMar>
      </w:tblPr>
      <w:tblGrid>
        <w:gridCol w:w="2600"/>
        <w:gridCol w:w="6924"/>
      </w:tblGrid>
      <w:tr w14:paraId="55E62864">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2600" w:type="dxa"/>
            <w:shd w:val="clear" w:color="auto" w:fill="F2F2F2"/>
            <w:tcMar>
              <w:top w:w="50" w:type="dxa"/>
              <w:left w:w="120" w:type="dxa"/>
              <w:bottom w:w="50" w:type="dxa"/>
              <w:right w:w="120" w:type="dxa"/>
            </w:tcMar>
            <w:vAlign w:val="center"/>
          </w:tcPr>
          <w:p w14:paraId="14099E0D">
            <w:r>
              <w:rPr>
                <w:b/>
                <w:bCs/>
              </w:rPr>
              <w:t>单位名称</w:t>
            </w:r>
          </w:p>
        </w:tc>
        <w:tc>
          <w:tcPr>
            <w:tcW w:w="6924" w:type="dxa"/>
            <w:tcMar>
              <w:top w:w="50" w:type="dxa"/>
              <w:left w:w="120" w:type="dxa"/>
              <w:bottom w:w="50" w:type="dxa"/>
              <w:right w:w="120" w:type="dxa"/>
            </w:tcMar>
            <w:vAlign w:val="center"/>
          </w:tcPr>
          <w:p w14:paraId="5E526132">
            <w:r>
              <w:t>北京几何鸟家居有限公司</w:t>
            </w:r>
          </w:p>
        </w:tc>
      </w:tr>
      <w:tr w14:paraId="0B9C98FE">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2600" w:type="dxa"/>
            <w:shd w:val="clear" w:color="auto" w:fill="F2F2F2"/>
            <w:tcMar>
              <w:top w:w="50" w:type="dxa"/>
              <w:left w:w="120" w:type="dxa"/>
              <w:bottom w:w="50" w:type="dxa"/>
              <w:right w:w="120" w:type="dxa"/>
            </w:tcMar>
            <w:vAlign w:val="center"/>
          </w:tcPr>
          <w:p w14:paraId="41DA78CA">
            <w:r>
              <w:rPr>
                <w:b/>
                <w:bCs/>
              </w:rPr>
              <w:t>纳税人识别号</w:t>
            </w:r>
          </w:p>
        </w:tc>
        <w:tc>
          <w:tcPr>
            <w:tcW w:w="6924" w:type="dxa"/>
            <w:tcMar>
              <w:top w:w="50" w:type="dxa"/>
              <w:left w:w="120" w:type="dxa"/>
              <w:bottom w:w="50" w:type="dxa"/>
              <w:right w:w="120" w:type="dxa"/>
            </w:tcMar>
            <w:vAlign w:val="center"/>
          </w:tcPr>
          <w:p w14:paraId="22B2E6F2">
            <w:r>
              <w:t>91110105MAERG7QN79</w:t>
            </w:r>
          </w:p>
        </w:tc>
      </w:tr>
      <w:tr w14:paraId="2B23AE8D">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2600" w:type="dxa"/>
            <w:shd w:val="clear" w:color="auto" w:fill="F2F2F2"/>
            <w:tcMar>
              <w:top w:w="50" w:type="dxa"/>
              <w:left w:w="120" w:type="dxa"/>
              <w:bottom w:w="50" w:type="dxa"/>
              <w:right w:w="120" w:type="dxa"/>
            </w:tcMar>
            <w:vAlign w:val="center"/>
          </w:tcPr>
          <w:p w14:paraId="0DF10AED">
            <w:r>
              <w:rPr>
                <w:b/>
                <w:bCs/>
              </w:rPr>
              <w:t>注册地址</w:t>
            </w:r>
          </w:p>
        </w:tc>
        <w:tc>
          <w:tcPr>
            <w:tcW w:w="6924" w:type="dxa"/>
            <w:tcMar>
              <w:top w:w="50" w:type="dxa"/>
              <w:left w:w="120" w:type="dxa"/>
              <w:bottom w:w="50" w:type="dxa"/>
              <w:right w:w="120" w:type="dxa"/>
            </w:tcMar>
            <w:vAlign w:val="center"/>
          </w:tcPr>
          <w:p w14:paraId="38C28E54">
            <w:r>
              <w:t>北京市朝阳区东大桥路8号1楼2层218室</w:t>
            </w:r>
          </w:p>
        </w:tc>
      </w:tr>
      <w:tr w14:paraId="54099FE4">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2600" w:type="dxa"/>
            <w:shd w:val="clear" w:color="auto" w:fill="F2F2F2"/>
            <w:tcMar>
              <w:top w:w="50" w:type="dxa"/>
              <w:left w:w="120" w:type="dxa"/>
              <w:bottom w:w="50" w:type="dxa"/>
              <w:right w:w="120" w:type="dxa"/>
            </w:tcMar>
            <w:vAlign w:val="center"/>
          </w:tcPr>
          <w:p w14:paraId="1A233121">
            <w:r>
              <w:rPr>
                <w:b/>
                <w:bCs/>
              </w:rPr>
              <w:t>开户行</w:t>
            </w:r>
          </w:p>
        </w:tc>
        <w:tc>
          <w:tcPr>
            <w:tcW w:w="6924" w:type="dxa"/>
            <w:tcMar>
              <w:top w:w="50" w:type="dxa"/>
              <w:left w:w="120" w:type="dxa"/>
              <w:bottom w:w="50" w:type="dxa"/>
              <w:right w:w="120" w:type="dxa"/>
            </w:tcMar>
            <w:vAlign w:val="center"/>
          </w:tcPr>
          <w:p w14:paraId="1DD13AA8">
            <w:r>
              <w:t>宁波银行股份有限公司北京顺义支行</w:t>
            </w:r>
          </w:p>
        </w:tc>
      </w:tr>
      <w:tr w14:paraId="06CA549A">
        <w:tblPrEx>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 w:type="dxa"/>
            <w:bottom w:w="0" w:type="dxa"/>
            <w:right w:w="10" w:type="dxa"/>
          </w:tblCellMar>
        </w:tblPrEx>
        <w:tc>
          <w:tcPr>
            <w:tcW w:w="2600" w:type="dxa"/>
            <w:shd w:val="clear" w:color="auto" w:fill="F2F2F2"/>
            <w:tcMar>
              <w:top w:w="50" w:type="dxa"/>
              <w:left w:w="120" w:type="dxa"/>
              <w:bottom w:w="50" w:type="dxa"/>
              <w:right w:w="120" w:type="dxa"/>
            </w:tcMar>
            <w:vAlign w:val="center"/>
          </w:tcPr>
          <w:p w14:paraId="535806D1">
            <w:r>
              <w:rPr>
                <w:b/>
                <w:bCs/>
              </w:rPr>
              <w:t>银行账号</w:t>
            </w:r>
          </w:p>
        </w:tc>
        <w:tc>
          <w:tcPr>
            <w:tcW w:w="6924" w:type="dxa"/>
            <w:tcMar>
              <w:top w:w="50" w:type="dxa"/>
              <w:left w:w="120" w:type="dxa"/>
              <w:bottom w:w="50" w:type="dxa"/>
              <w:right w:w="120" w:type="dxa"/>
            </w:tcMar>
            <w:vAlign w:val="center"/>
          </w:tcPr>
          <w:p w14:paraId="74B0EFD4">
            <w:r>
              <w:t>86041110001087086</w:t>
            </w:r>
          </w:p>
        </w:tc>
      </w:tr>
    </w:tbl>
    <w:p w14:paraId="065234CF">
      <w:pPr>
        <w:keepNext/>
        <w:pBdr>
          <w:left w:val="single" w:color="000000" w:sz="18" w:space="6"/>
        </w:pBdr>
        <w:shd w:val="clear" w:color="auto" w:fill="F2F2F2"/>
        <w:spacing w:before="140" w:after="60"/>
      </w:pPr>
      <w:r>
        <w:rPr>
          <w:rFonts w:ascii="黑体" w:hAnsi="黑体" w:eastAsia="黑体" w:cs="黑体"/>
          <w:b/>
          <w:bCs/>
          <w:color w:val="000000"/>
          <w:sz w:val="21"/>
          <w:szCs w:val="21"/>
        </w:rPr>
        <w:t>三、交货周期与交货安排</w:t>
      </w:r>
    </w:p>
    <w:p w14:paraId="3B6C28D2">
      <w:pPr>
        <w:spacing w:after="50" w:line="252" w:lineRule="auto"/>
      </w:pPr>
      <w:r>
        <w:t xml:space="preserve">本合同产品生产交货周期为：甲乙双方签字确认最终施工图纸且甲方足额支付首付款次日起 </w:t>
      </w:r>
      <w:r>
        <w:rPr>
          <w:rFonts w:hint="eastAsia"/>
          <w:lang w:val="en-US" w:eastAsia="zh-CN"/>
        </w:rPr>
        <w:t>20</w:t>
      </w:r>
      <w:r>
        <w:t xml:space="preserve"> 个工作日（不含法定节假日）。乙方计划送货前 1 日电话通知甲方，</w:t>
      </w:r>
      <w:r>
        <w:rPr>
          <w:color w:val="0000FF"/>
        </w:rPr>
        <w:t>乙方计划送货前 1 日电话通知甲方，</w:t>
      </w:r>
      <w:r>
        <w:rPr>
          <w:rFonts w:hint="eastAsia"/>
          <w:color w:val="0000FF"/>
          <w:lang w:val="en-US" w:eastAsia="zh-CN"/>
        </w:rPr>
        <w:t>确保8月1日完成成品运输至乙方办公场所，8月3日完成成品安装。</w:t>
      </w:r>
    </w:p>
    <w:p w14:paraId="699C29AE">
      <w:pPr>
        <w:spacing w:after="50" w:line="252" w:lineRule="auto"/>
      </w:pPr>
    </w:p>
    <w:p w14:paraId="05BFAD98">
      <w:pPr>
        <w:keepNext/>
        <w:pBdr>
          <w:left w:val="single" w:color="000000" w:sz="18" w:space="6"/>
        </w:pBdr>
        <w:shd w:val="clear" w:color="auto" w:fill="F2F2F2"/>
        <w:spacing w:before="140" w:after="60"/>
      </w:pPr>
      <w:r>
        <w:rPr>
          <w:rFonts w:ascii="黑体" w:hAnsi="黑体" w:eastAsia="黑体" w:cs="黑体"/>
          <w:b/>
          <w:bCs/>
          <w:color w:val="000000"/>
          <w:sz w:val="21"/>
          <w:szCs w:val="21"/>
        </w:rPr>
        <w:t>四、验货标准与质量界定</w:t>
      </w:r>
    </w:p>
    <w:p w14:paraId="08ED3C47">
      <w:pPr>
        <w:spacing w:after="50" w:line="252" w:lineRule="auto"/>
        <w:ind w:left="300" w:hanging="300"/>
      </w:pPr>
      <w:r>
        <w:t>1. 乙方依据与</w:t>
      </w:r>
      <w:r>
        <w:rPr>
          <w:rFonts w:hint="eastAsia"/>
          <w:color w:val="0000FF"/>
          <w:lang w:val="en-US" w:eastAsia="zh-CN"/>
        </w:rPr>
        <w:t>甲方</w:t>
      </w:r>
      <w:r>
        <w:t>客户签订的文件（设计图纸、订货清单、合同附件）加工生产产品，产品质量以乙方展示样品为准。</w:t>
      </w:r>
    </w:p>
    <w:p w14:paraId="0AB80F85">
      <w:pPr>
        <w:spacing w:after="50" w:line="252" w:lineRule="auto"/>
        <w:ind w:left="300" w:hanging="300"/>
      </w:pPr>
      <w:r>
        <w:t>2. 产品规格参数按双方签订的文件约定为准。板材、石材、烤漆、亚克力等饰面材料允许与展厅样品存在行业标准范围内轻微色差、天然纹理差异，上述情形不认定为产品质量缺陷。</w:t>
      </w:r>
    </w:p>
    <w:p w14:paraId="02C8E95E">
      <w:pPr>
        <w:spacing w:after="50" w:line="252" w:lineRule="auto"/>
        <w:ind w:left="300" w:hanging="300"/>
      </w:pPr>
      <w:r>
        <w:t>3. 对于人造石材浅色、纯色等部分产品，接驳线处会出现接驳痕，聚酯饰面产品受光照、环境温湿度长期影响产生轻微变色，属于材料正常特性，不视为质量问题。</w:t>
      </w:r>
    </w:p>
    <w:p w14:paraId="7318D9A9">
      <w:pPr>
        <w:spacing w:after="50" w:line="252" w:lineRule="auto"/>
        <w:ind w:left="300" w:hanging="300"/>
      </w:pPr>
      <w:r>
        <w:t>4. 因现场安装预留基层尺寸影响，成品柜体允许存在 ≤0.5% 尺寸误差，单处误差绝对值不超过 3mm，超出该标准视为尺寸不合格。</w:t>
      </w:r>
      <w:r>
        <w:rPr>
          <w:rFonts w:hint="eastAsia"/>
          <w:color w:val="0000FF"/>
          <w:lang w:val="en-US" w:eastAsia="zh-CN"/>
        </w:rPr>
        <w:t>乙方承诺甲方定制的家具所有链接处打胶后无缝隙。</w:t>
      </w:r>
    </w:p>
    <w:p w14:paraId="05E0A661">
      <w:pPr>
        <w:spacing w:after="50" w:line="252" w:lineRule="auto"/>
        <w:ind w:left="300" w:hanging="300"/>
      </w:pPr>
      <w:r>
        <w:t>5. 本产品为甲方专属定制，除产品存在整体性结构性质量缺陷外，乙方不接受甲方无理由整体退换申请；仅单一柜体、门板、台面等零部件存在质量瑕疵的，乙方仅对瑕疵零部件免费维修、更换，不支持整套产品退换。合同产品如出现质量瑕疵（包括送货、安装过程中出现的损伤），乙方负责对有质量瑕疵的部分进行返工维修，如返工维修后仍无法使用，甲方可以对该存在质量问题的产品部分要求退换；合同产品中的百货类货品，遵照相关产品的国家质量标准，乙方给予“三包”服务。</w:t>
      </w:r>
    </w:p>
    <w:p w14:paraId="233A0F98">
      <w:pPr>
        <w:spacing w:after="50" w:line="252" w:lineRule="auto"/>
        <w:ind w:left="300" w:hanging="300"/>
      </w:pPr>
      <w:r>
        <w:t>6. 产品环保指标符合合同约定板材国标即判定合格；在国标限值内，因个人嗅觉敏感度、密闭空间积聚产生的板材气味，不属于产品质量问题。</w:t>
      </w:r>
    </w:p>
    <w:p w14:paraId="30885C11">
      <w:pPr>
        <w:spacing w:after="50" w:line="252" w:lineRule="auto"/>
        <w:ind w:left="300" w:hanging="300"/>
      </w:pPr>
      <w:r>
        <w:t>7. 乙方应确保所生产的定制产品符合国家相关质量标准及行业规范。</w:t>
      </w:r>
    </w:p>
    <w:p w14:paraId="64FBB6CC">
      <w:pPr>
        <w:spacing w:after="50" w:line="252" w:lineRule="auto"/>
        <w:ind w:left="300" w:hanging="300"/>
      </w:pPr>
      <w:r>
        <w:t>8. 乙方提供的产品，除明确标注的板材、大型五金等主材的品牌型号外，其余连接件、封边带、拉手等未明确品牌型号的产品属于附件，乙方按自有配套标准供货。</w:t>
      </w:r>
    </w:p>
    <w:p w14:paraId="14180165">
      <w:pPr>
        <w:spacing w:after="50" w:line="252" w:lineRule="auto"/>
        <w:ind w:left="300" w:hanging="300"/>
      </w:pPr>
      <w:r>
        <w:t>9. 安装施工过程中甲方对乙方产品质量发生争议，甲方可到具备资质的检测机构检测，产品如不符合合同约定的标准，则由乙方承担检测费用并承担不符合约定部分的修复或更换。</w:t>
      </w:r>
    </w:p>
    <w:p w14:paraId="372819B5">
      <w:pPr>
        <w:keepNext/>
        <w:pBdr>
          <w:left w:val="single" w:color="000000" w:sz="18" w:space="6"/>
        </w:pBdr>
        <w:shd w:val="clear" w:color="auto" w:fill="F2F2F2"/>
        <w:spacing w:before="140" w:after="60"/>
      </w:pPr>
      <w:r>
        <w:rPr>
          <w:rFonts w:ascii="黑体" w:hAnsi="黑体" w:eastAsia="黑体" w:cs="黑体"/>
          <w:b/>
          <w:bCs/>
          <w:color w:val="000000"/>
          <w:sz w:val="21"/>
          <w:szCs w:val="21"/>
        </w:rPr>
        <w:t>五、甲方权利与责任</w:t>
      </w:r>
    </w:p>
    <w:p w14:paraId="75719AB1">
      <w:pPr>
        <w:spacing w:after="50" w:line="252" w:lineRule="auto"/>
        <w:ind w:left="300" w:hanging="300"/>
      </w:pPr>
      <w:r>
        <w:t>1. 本合同产品为定制产品，双方签订合同，甲方不得单方面变更或解除合同。若甲方单方终止合同，无权要求返还已支付的全部货款，且需赔偿由此给乙方造成的其他损失。</w:t>
      </w:r>
    </w:p>
    <w:p w14:paraId="23BB83B7">
      <w:pPr>
        <w:spacing w:after="50" w:line="252" w:lineRule="auto"/>
        <w:ind w:left="300" w:hanging="300"/>
      </w:pPr>
      <w:r>
        <w:t>2. 安装产品前，甲方应提供安装该合同产品的合理条件，包括但不限于相关屋顶、墙面和地面做平整处理（地面水平、墙面与地面垂直且相交于一条直线等）。由于甲方墙面不平导致产品侧面与墙体出现轻微缝隙，不属于乙方产品质量、安装问题；若因甲方墙体严重不平，导致乙方需要额外增加收口板材或进行特殊工艺处理的，产生的材料费及人工费由甲方承担。</w:t>
      </w:r>
    </w:p>
    <w:p w14:paraId="6D69AAD2">
      <w:pPr>
        <w:spacing w:after="50" w:line="252" w:lineRule="auto"/>
        <w:ind w:left="300" w:hanging="300"/>
      </w:pPr>
      <w:r>
        <w:t>3. 甲方应按乙方提供的水、电、气等管道线路进行前期施工，并在安装前提供水、电、气等管道准确走线图或者做出明确标识，否则对在安装过程中钻孔等操作导致的管道线路损坏等损失乙方不承担责任。</w:t>
      </w:r>
    </w:p>
    <w:p w14:paraId="4CB46F9D">
      <w:pPr>
        <w:spacing w:after="50" w:line="252" w:lineRule="auto"/>
        <w:ind w:left="300" w:hanging="300"/>
      </w:pPr>
      <w:r>
        <w:t>4. 安装当日无法完工的，甲方负责现场安保、消防及成品保护</w:t>
      </w:r>
      <w:r>
        <w:rPr>
          <w:rFonts w:hint="eastAsia"/>
          <w:lang w:eastAsia="zh-CN"/>
        </w:rPr>
        <w:t>。</w:t>
      </w:r>
      <w:r>
        <w:t>安装期间存放于甲方场地内的产品、配件若发生丢失、人为磕碰损坏，损失由甲方自行承担；因乙方安装人员操作造成损坏的除外。</w:t>
      </w:r>
    </w:p>
    <w:p w14:paraId="58D468A2">
      <w:pPr>
        <w:keepNext/>
        <w:pBdr>
          <w:left w:val="single" w:color="000000" w:sz="18" w:space="6"/>
        </w:pBdr>
        <w:shd w:val="clear" w:color="auto" w:fill="F2F2F2"/>
        <w:spacing w:before="140" w:after="60"/>
      </w:pPr>
      <w:r>
        <w:rPr>
          <w:rFonts w:ascii="黑体" w:hAnsi="黑体" w:eastAsia="黑体" w:cs="黑体"/>
          <w:b/>
          <w:bCs/>
          <w:color w:val="000000"/>
          <w:sz w:val="21"/>
          <w:szCs w:val="21"/>
        </w:rPr>
        <w:t>六、乙方权利与责任</w:t>
      </w:r>
    </w:p>
    <w:p w14:paraId="29486DEA">
      <w:pPr>
        <w:spacing w:after="50" w:line="252" w:lineRule="auto"/>
        <w:ind w:left="300" w:hanging="300"/>
      </w:pPr>
      <w:r>
        <w:t>1. 乙方提供免费设计服务。设计人员结合户型与柜体结构合理规划空间布局，并出具平面、立面施工图纸。</w:t>
      </w:r>
    </w:p>
    <w:p w14:paraId="737F2A11">
      <w:pPr>
        <w:spacing w:after="50" w:line="252" w:lineRule="auto"/>
        <w:ind w:left="300" w:hanging="300"/>
      </w:pPr>
      <w:r>
        <w:t>2. 乙方负责免费安装（不含甲方自购产品）。</w:t>
      </w:r>
    </w:p>
    <w:p w14:paraId="75954773">
      <w:pPr>
        <w:spacing w:after="50" w:line="252" w:lineRule="auto"/>
        <w:ind w:left="300" w:hanging="300"/>
      </w:pPr>
      <w:r>
        <w:t>3. 乙方严格按照合同规定，提供厂家生产的合格产品。</w:t>
      </w:r>
    </w:p>
    <w:p w14:paraId="319D8492">
      <w:pPr>
        <w:spacing w:after="50" w:line="252" w:lineRule="auto"/>
        <w:ind w:left="300" w:hanging="300"/>
        <w:rPr>
          <w:color w:val="0000FF"/>
        </w:rPr>
      </w:pPr>
      <w:r>
        <w:rPr>
          <w:color w:val="0000FF"/>
        </w:rPr>
        <w:t>4</w:t>
      </w:r>
      <w:r>
        <w:rPr>
          <w:rFonts w:hint="eastAsia"/>
          <w:color w:val="0000FF"/>
          <w:lang w:val="en-US" w:eastAsia="zh-CN"/>
        </w:rPr>
        <w:t>.</w:t>
      </w:r>
      <w:r>
        <w:rPr>
          <w:color w:val="0000FF"/>
        </w:rPr>
        <w:t>乙方保证其所提供的产品质量符合甲方要求，不存在包括但不限于严重色差、整体畸形、变形、异味、磕碰、甲醛超标等问题。乙方产品出现上述质量问题的，甲方有权选择解除本合同并拒绝接收产品或在任何时候主张退货，所支付的款项乙方需如数返还，未支付的款项不再支付。</w:t>
      </w:r>
    </w:p>
    <w:p w14:paraId="47628B0F">
      <w:pPr>
        <w:spacing w:after="50" w:line="252" w:lineRule="auto"/>
        <w:ind w:left="300" w:hanging="300"/>
        <w:rPr>
          <w:color w:val="0000FF"/>
        </w:rPr>
      </w:pPr>
      <w:r>
        <w:rPr>
          <w:color w:val="0000FF"/>
        </w:rPr>
        <w:t>5</w:t>
      </w:r>
      <w:r>
        <w:rPr>
          <w:rFonts w:hint="eastAsia"/>
          <w:color w:val="0000FF"/>
          <w:lang w:val="en-US" w:eastAsia="zh-CN"/>
        </w:rPr>
        <w:t>.</w:t>
      </w:r>
      <w:r>
        <w:rPr>
          <w:color w:val="0000FF"/>
        </w:rPr>
        <w:t>自甲方告知乙方解除本合同之日起3日内乙方未全额返还甲方钱款或因乙方产品质量问题造成甲方或任何第三方健康、经济、名誉等损失的，甲方除有权解除本合同，主张已付款项返还外，还有权向乙方主张合同总价款30%的违约金。</w:t>
      </w:r>
    </w:p>
    <w:p w14:paraId="1ABDEB97">
      <w:pPr>
        <w:spacing w:after="50" w:line="252" w:lineRule="auto"/>
        <w:ind w:left="300" w:hanging="300"/>
        <w:rPr>
          <w:color w:val="0000FF"/>
        </w:rPr>
      </w:pPr>
      <w:r>
        <w:rPr>
          <w:color w:val="0000FF"/>
        </w:rPr>
        <w:t>6</w:t>
      </w:r>
      <w:r>
        <w:rPr>
          <w:rFonts w:hint="eastAsia"/>
          <w:color w:val="0000FF"/>
          <w:lang w:val="en-US" w:eastAsia="zh-CN"/>
        </w:rPr>
        <w:t>.</w:t>
      </w:r>
      <w:r>
        <w:rPr>
          <w:color w:val="0000FF"/>
        </w:rPr>
        <w:t>因乙方违约，甲方维权所支付的款项，包括但不限于：诉讼费、律师费、评估鉴定费、公证费、专家论证费、差旅费、交通通讯费等一切支出均由乙方承担。</w:t>
      </w:r>
    </w:p>
    <w:p w14:paraId="592CC742">
      <w:pPr>
        <w:spacing w:after="50" w:line="252" w:lineRule="auto"/>
        <w:ind w:left="300" w:hanging="300"/>
      </w:pPr>
    </w:p>
    <w:p w14:paraId="41557EC7">
      <w:pPr>
        <w:keepNext/>
        <w:pBdr>
          <w:left w:val="single" w:color="000000" w:sz="18" w:space="6"/>
        </w:pBdr>
        <w:shd w:val="clear" w:color="auto" w:fill="F2F2F2"/>
        <w:spacing w:before="140" w:after="60"/>
      </w:pPr>
      <w:r>
        <w:rPr>
          <w:rFonts w:ascii="黑体" w:hAnsi="黑体" w:eastAsia="黑体" w:cs="黑体"/>
          <w:b/>
          <w:bCs/>
          <w:color w:val="000000"/>
          <w:sz w:val="21"/>
          <w:szCs w:val="21"/>
        </w:rPr>
        <w:t>七、工期顺延情形划分</w:t>
      </w:r>
    </w:p>
    <w:p w14:paraId="31D4D543">
      <w:pPr>
        <w:spacing w:after="50" w:line="252" w:lineRule="auto"/>
      </w:pPr>
      <w:r>
        <w:t>对以下原因造成的交货期延误，交货期相应顺延，乙方不承担赔偿责任：</w:t>
      </w:r>
    </w:p>
    <w:p w14:paraId="3BE98264">
      <w:pPr>
        <w:spacing w:after="50" w:line="252" w:lineRule="auto"/>
        <w:ind w:left="300" w:hanging="300"/>
      </w:pPr>
      <w:r>
        <w:t>1. 工程量变化或设计变更。</w:t>
      </w:r>
    </w:p>
    <w:p w14:paraId="582CB8AD">
      <w:pPr>
        <w:spacing w:after="50" w:line="252" w:lineRule="auto"/>
        <w:ind w:left="300" w:hanging="300"/>
      </w:pPr>
      <w:r>
        <w:t>2. 不可抗力及法定节假日造成货运及安装日期延后。</w:t>
      </w:r>
    </w:p>
    <w:p w14:paraId="04F68159">
      <w:pPr>
        <w:spacing w:after="50" w:line="252" w:lineRule="auto"/>
        <w:ind w:left="300" w:hanging="300"/>
      </w:pPr>
      <w:r>
        <w:t>3. 因气候、雾霾、高速封路、国家重大工程或自然灾害等原因所造成的交通不畅，致使货运延期。</w:t>
      </w:r>
    </w:p>
    <w:p w14:paraId="470134DA">
      <w:pPr>
        <w:spacing w:after="50" w:line="252" w:lineRule="auto"/>
        <w:ind w:left="300" w:hanging="300"/>
      </w:pPr>
      <w:r>
        <w:t>4. 因政府环保检查导致的工厂停产、物业管控、电梯故障、小区停水停电、业主邻里阻挠等第三方客观原因，工期顺延，乙方不承担违约金。</w:t>
      </w:r>
    </w:p>
    <w:p w14:paraId="79E237ED">
      <w:pPr>
        <w:spacing w:after="50" w:line="252" w:lineRule="auto"/>
        <w:ind w:left="300" w:hanging="300"/>
      </w:pPr>
      <w:r>
        <w:t>5. 甲方同意交货期顺延的其它原因。</w:t>
      </w:r>
    </w:p>
    <w:p w14:paraId="7BCD2FB6">
      <w:pPr>
        <w:spacing w:after="50" w:line="252" w:lineRule="auto"/>
        <w:ind w:left="300" w:hanging="300"/>
      </w:pPr>
      <w:r>
        <w:t>6. 因甲方未按合同约定完成其应负责的工作而影响工期的，交货期顺延。</w:t>
      </w:r>
    </w:p>
    <w:p w14:paraId="2FD376A6">
      <w:pPr>
        <w:spacing w:after="50" w:line="252" w:lineRule="auto"/>
        <w:ind w:left="300" w:hanging="300"/>
      </w:pPr>
      <w:r>
        <w:t>7. 因甲方原因影响工程质量的，返工费用由甲方承担，交货期顺延。</w:t>
      </w:r>
    </w:p>
    <w:p w14:paraId="41132A69">
      <w:pPr>
        <w:spacing w:after="50" w:line="252" w:lineRule="auto"/>
        <w:ind w:left="300" w:hanging="300"/>
      </w:pPr>
      <w:r>
        <w:t>8. 因乙方原因影响工程质量的，返工费用由乙方承担，交货期不顺延。</w:t>
      </w:r>
    </w:p>
    <w:p w14:paraId="66DC4585">
      <w:pPr>
        <w:keepNext/>
        <w:pBdr>
          <w:left w:val="single" w:color="000000" w:sz="18" w:space="6"/>
        </w:pBdr>
        <w:shd w:val="clear" w:color="auto" w:fill="F2F2F2"/>
        <w:spacing w:before="140" w:after="60"/>
      </w:pPr>
      <w:r>
        <w:rPr>
          <w:rFonts w:ascii="黑体" w:hAnsi="黑体" w:eastAsia="黑体" w:cs="黑体"/>
          <w:b/>
          <w:bCs/>
          <w:color w:val="000000"/>
          <w:sz w:val="21"/>
          <w:szCs w:val="21"/>
        </w:rPr>
        <w:t>八、保修、售后及免责</w:t>
      </w:r>
    </w:p>
    <w:p w14:paraId="0F811AE6">
      <w:pPr>
        <w:spacing w:after="50" w:line="252" w:lineRule="auto"/>
        <w:ind w:left="300" w:hanging="300"/>
      </w:pPr>
      <w:r>
        <w:t>1. 质保期限</w:t>
      </w:r>
    </w:p>
    <w:p w14:paraId="7D25481E">
      <w:pPr>
        <w:spacing w:after="50" w:line="252" w:lineRule="auto"/>
        <w:ind w:left="600" w:hanging="300"/>
      </w:pPr>
      <w:r>
        <w:t>1.1 全屋定制柜体、环保板材、实木 / 免漆门板、全套原厂五金配件，质保期限：10 年（自完工验收合格之日起算）。</w:t>
      </w:r>
    </w:p>
    <w:p w14:paraId="581AAD47">
      <w:pPr>
        <w:spacing w:after="50" w:line="252" w:lineRule="auto"/>
        <w:ind w:left="600" w:hanging="300"/>
      </w:pPr>
      <w:r>
        <w:t>1.2 台面、玻璃门、灯带、电器、水槽、拉篮</w:t>
      </w:r>
      <w:r>
        <w:rPr>
          <w:rFonts w:hint="eastAsia"/>
          <w:lang w:val="en-US" w:eastAsia="zh-CN"/>
        </w:rPr>
        <w:t>等</w:t>
      </w:r>
      <w:r>
        <w:t>外购</w:t>
      </w:r>
      <w:r>
        <w:rPr>
          <w:rFonts w:hint="eastAsia"/>
          <w:lang w:val="en-US" w:eastAsia="zh-CN"/>
        </w:rPr>
        <w:t>品牌</w:t>
      </w:r>
      <w:r>
        <w:t>配套件，按品牌原厂标准质保，不纳入本店 10 年质保范围。</w:t>
      </w:r>
    </w:p>
    <w:p w14:paraId="60179984">
      <w:pPr>
        <w:spacing w:after="50" w:line="252" w:lineRule="auto"/>
        <w:ind w:left="300" w:hanging="300"/>
      </w:pPr>
      <w:r>
        <w:t>2. 免费保修范围</w:t>
      </w:r>
    </w:p>
    <w:p w14:paraId="67A8EB58">
      <w:pPr>
        <w:spacing w:after="50" w:line="252" w:lineRule="auto"/>
        <w:ind w:left="600" w:hanging="300"/>
      </w:pPr>
      <w:r>
        <w:t>质保期内正常居家使用环境下，非人为、非外力损坏，享受免费检修、上门、换件、调试：</w:t>
      </w:r>
    </w:p>
    <w:p w14:paraId="00FED0E1">
      <w:pPr>
        <w:spacing w:after="50" w:line="252" w:lineRule="auto"/>
        <w:ind w:left="600" w:hanging="300"/>
      </w:pPr>
      <w:r>
        <w:t>2.1 原厂板材自然开裂、变形、表面饰面脱落。</w:t>
      </w:r>
    </w:p>
    <w:p w14:paraId="7F78425B">
      <w:pPr>
        <w:spacing w:after="50" w:line="252" w:lineRule="auto"/>
        <w:ind w:left="600" w:hanging="300"/>
      </w:pPr>
      <w:r>
        <w:t>2.2 原厂五金件自然生锈、卡顿、断裂、功能损坏，免费同型号换新。</w:t>
      </w:r>
    </w:p>
    <w:p w14:paraId="7A770D39">
      <w:pPr>
        <w:spacing w:after="50" w:line="252" w:lineRule="auto"/>
        <w:ind w:left="600" w:hanging="300"/>
      </w:pPr>
      <w:r>
        <w:t>2.3 门板、柜体、台面正规封边出现自然脱胶、开裂、变形。</w:t>
      </w:r>
    </w:p>
    <w:p w14:paraId="74DD1F63">
      <w:pPr>
        <w:spacing w:after="50" w:line="252" w:lineRule="auto"/>
        <w:ind w:left="600" w:hanging="300"/>
      </w:pPr>
      <w:r>
        <w:t>2.4 出厂安装工艺问题导致缝隙不均、柜门倾斜松动、开合异响，免费上门调试维修。</w:t>
      </w:r>
    </w:p>
    <w:p w14:paraId="63C453C0">
      <w:pPr>
        <w:spacing w:after="50" w:line="252" w:lineRule="auto"/>
        <w:ind w:left="600" w:hanging="300"/>
      </w:pPr>
      <w:r>
        <w:t>2.5 甲方自行采购的家电、五金、台面等自备产品，不在乙方保修范围；因甲方自备产品尺寸、规格不符导致安装故障、柜体损坏的，全部维修、整改费用由甲方承担。</w:t>
      </w:r>
    </w:p>
    <w:p w14:paraId="6D408731">
      <w:pPr>
        <w:spacing w:after="50" w:line="252" w:lineRule="auto"/>
        <w:ind w:left="600" w:hanging="300"/>
      </w:pPr>
      <w:r>
        <w:t>2.6 甲方未按合同规定结算合同价款，乙方有权暂停一切售后、维修、质保服务。</w:t>
      </w:r>
    </w:p>
    <w:p w14:paraId="30DD98FA">
      <w:pPr>
        <w:spacing w:after="50" w:line="252" w:lineRule="auto"/>
        <w:ind w:left="300" w:hanging="300"/>
      </w:pPr>
      <w:r>
        <w:t>3. 售后服务承诺</w:t>
      </w:r>
    </w:p>
    <w:p w14:paraId="664C2D55">
      <w:pPr>
        <w:spacing w:after="50" w:line="252" w:lineRule="auto"/>
        <w:ind w:left="600" w:hanging="300"/>
      </w:pPr>
      <w:r>
        <w:t>3.1 质保期内非人为质量问题：免费上门、免费检修、免费配件、免费调试，无上门费、无人工费。</w:t>
      </w:r>
    </w:p>
    <w:p w14:paraId="0F7503EC">
      <w:pPr>
        <w:spacing w:after="50" w:line="252" w:lineRule="auto"/>
        <w:ind w:left="600" w:hanging="300"/>
      </w:pPr>
      <w:r>
        <w:t>3.2 质保期满后：终身成本价维保，仅收取材料成本</w:t>
      </w:r>
      <w:r>
        <w:rPr>
          <w:rFonts w:hint="eastAsia"/>
          <w:lang w:val="en-US" w:eastAsia="zh-CN"/>
        </w:rPr>
        <w:t>及</w:t>
      </w:r>
      <w:r>
        <w:t>基础上门人工费，明码标价，提前告知。</w:t>
      </w:r>
    </w:p>
    <w:p w14:paraId="4E57103B">
      <w:pPr>
        <w:spacing w:after="50" w:line="252" w:lineRule="auto"/>
        <w:ind w:left="300" w:hanging="300"/>
      </w:pPr>
      <w:r>
        <w:t>4. 免责条款</w:t>
      </w:r>
    </w:p>
    <w:p w14:paraId="3180BE5A">
      <w:pPr>
        <w:spacing w:after="50" w:line="252" w:lineRule="auto"/>
        <w:ind w:left="600" w:hanging="300"/>
      </w:pPr>
      <w:r>
        <w:t>有下列情况之一，不属于免费质保，可提供有偿维修：</w:t>
      </w:r>
    </w:p>
    <w:p w14:paraId="47070A41">
      <w:pPr>
        <w:spacing w:after="50" w:line="252" w:lineRule="auto"/>
        <w:ind w:left="600" w:hanging="300"/>
      </w:pPr>
      <w:r>
        <w:t>4.1 房屋墙体沉降、墙面地面不平、房屋结构变形导致柜体变形、开裂、错位。</w:t>
      </w:r>
    </w:p>
    <w:p w14:paraId="741A98B4">
      <w:pPr>
        <w:spacing w:after="50" w:line="252" w:lineRule="auto"/>
        <w:ind w:left="600" w:hanging="300"/>
      </w:pPr>
      <w:r>
        <w:t>4.2 居家泡水、漏水、长期潮湿</w:t>
      </w:r>
      <w:r>
        <w:rPr>
          <w:rFonts w:hint="eastAsia"/>
          <w:lang w:eastAsia="zh-CN"/>
        </w:rPr>
        <w:t>、</w:t>
      </w:r>
      <w:r>
        <w:t>暴晒、梅雨季节未通风造成受潮发霉、膨胀变形。</w:t>
      </w:r>
    </w:p>
    <w:p w14:paraId="72BA26F7">
      <w:pPr>
        <w:spacing w:after="50" w:line="252" w:lineRule="auto"/>
        <w:ind w:left="600" w:hanging="300"/>
      </w:pPr>
      <w:r>
        <w:t>4.3 客户私自拆装、改装、挪动、切割、打孔，或找第三方人员拆卸维修造成损坏。</w:t>
      </w:r>
    </w:p>
    <w:p w14:paraId="79848DB3">
      <w:pPr>
        <w:spacing w:after="50" w:line="252" w:lineRule="auto"/>
        <w:ind w:left="600" w:hanging="300"/>
      </w:pPr>
      <w:r>
        <w:t>4.4 人为撞击、重物压放、磕碰划伤、小孩暴力开关柜门、外力恶意损坏。</w:t>
      </w:r>
    </w:p>
    <w:p w14:paraId="4362A1CF">
      <w:pPr>
        <w:spacing w:after="50" w:line="252" w:lineRule="auto"/>
        <w:ind w:left="600" w:hanging="300"/>
      </w:pPr>
      <w:r>
        <w:t>4.5 日常使用正常磨损、轻微划痕、玻璃易碎件、灯光耗材老化。</w:t>
      </w:r>
    </w:p>
    <w:p w14:paraId="12E2B077">
      <w:pPr>
        <w:spacing w:after="50" w:line="252" w:lineRule="auto"/>
        <w:ind w:left="600" w:hanging="300"/>
      </w:pPr>
      <w:r>
        <w:t>4.6 自然灾害、火灾、水淹等不可抗力造成损坏。</w:t>
      </w:r>
    </w:p>
    <w:p w14:paraId="003032F2">
      <w:pPr>
        <w:spacing w:after="50" w:line="252" w:lineRule="auto"/>
        <w:ind w:left="300" w:hanging="300"/>
      </w:pPr>
      <w:r>
        <w:t>5. 联系方式：本地报修电话 13681540231；监督电话 13910610523。</w:t>
      </w:r>
    </w:p>
    <w:p w14:paraId="5790C4D5">
      <w:pPr>
        <w:keepNext/>
        <w:pBdr>
          <w:left w:val="single" w:color="000000" w:sz="18" w:space="6"/>
        </w:pBdr>
        <w:shd w:val="clear" w:color="auto" w:fill="F2F2F2"/>
        <w:spacing w:before="140" w:after="60"/>
      </w:pPr>
      <w:r>
        <w:rPr>
          <w:rFonts w:ascii="黑体" w:hAnsi="黑体" w:eastAsia="黑体" w:cs="黑体"/>
          <w:b/>
          <w:bCs/>
          <w:color w:val="000000"/>
          <w:sz w:val="21"/>
          <w:szCs w:val="21"/>
        </w:rPr>
        <w:t>九、双方违约责任</w:t>
      </w:r>
    </w:p>
    <w:p w14:paraId="5BD2E590">
      <w:pPr>
        <w:spacing w:after="50" w:line="252" w:lineRule="auto"/>
        <w:ind w:left="300" w:hanging="300"/>
      </w:pPr>
      <w:r>
        <w:t>1. 合同双方当事人中的任一方因未履行合同的约定，</w:t>
      </w:r>
      <w:r>
        <w:rPr>
          <w:rFonts w:hint="eastAsia"/>
          <w:lang w:val="en-US" w:eastAsia="zh-CN"/>
        </w:rPr>
        <w:t>致使本</w:t>
      </w:r>
      <w:r>
        <w:t>合同无法继续履行时，该方应及时通知另一方，办理合同终止手续，并由责任方赔偿对方相应的经济损失。</w:t>
      </w:r>
    </w:p>
    <w:p w14:paraId="74493C77">
      <w:pPr>
        <w:spacing w:after="50" w:line="252" w:lineRule="auto"/>
        <w:ind w:left="300" w:hanging="300"/>
      </w:pPr>
      <w:r>
        <w:t>2. 上游原材料停产、断货导致合同无法履约的，乙方需于合同签订后 10 个工作日内书面告知甲方，双方可协商更换板材、解除合同退款；逾期未告知造成甲方损失的，乙方按合同总价 3% 支付违约金。</w:t>
      </w:r>
    </w:p>
    <w:p w14:paraId="3B3B5C05">
      <w:pPr>
        <w:spacing w:after="50" w:line="252" w:lineRule="auto"/>
        <w:ind w:left="300" w:hanging="300"/>
      </w:pPr>
      <w:r>
        <w:t>3. 未办理验收手续，甲方提前使用或擅自动用成品而造成的损失，由甲方自行负责；甲方在乙方安装</w:t>
      </w:r>
      <w:r>
        <w:rPr>
          <w:rFonts w:hint="eastAsia"/>
          <w:lang w:val="en-US" w:eastAsia="zh-CN"/>
        </w:rPr>
        <w:t>完毕</w:t>
      </w:r>
      <w:r>
        <w:t>后 3 个工作日内仍未办理验收手续的，乙方视甲方验收合格。</w:t>
      </w:r>
    </w:p>
    <w:p w14:paraId="78EEF596">
      <w:pPr>
        <w:spacing w:after="50" w:line="252" w:lineRule="auto"/>
        <w:ind w:left="300" w:hanging="300"/>
      </w:pPr>
      <w:r>
        <w:t>4. 如乙方工厂生产原因造成部分产品需更换的，以及运输中丢失或损坏的产品，乙方免费为甲方更换，但不计入交货期延期和违约赔偿。</w:t>
      </w:r>
    </w:p>
    <w:p w14:paraId="53427380">
      <w:pPr>
        <w:spacing w:after="50" w:line="252" w:lineRule="auto"/>
        <w:ind w:left="300" w:hanging="300"/>
      </w:pPr>
      <w:r>
        <w:t>5. 如因设计、安装、销售原因导致的差错，乙方免费为甲方整改，但不计入交货期延期和违约赔偿。</w:t>
      </w:r>
    </w:p>
    <w:p w14:paraId="069C2692">
      <w:pPr>
        <w:spacing w:after="50" w:line="252" w:lineRule="auto"/>
        <w:ind w:left="300" w:hanging="300"/>
      </w:pPr>
      <w:r>
        <w:t>6. 如</w:t>
      </w:r>
      <w:r>
        <w:rPr>
          <w:rFonts w:hint="eastAsia"/>
          <w:lang w:val="en-US" w:eastAsia="zh-CN"/>
        </w:rPr>
        <w:t>因</w:t>
      </w:r>
      <w:r>
        <w:t>甲方原因需对部分产品返工处理，返工维修重新送货时间由双方另行约定，其产生一切费用由甲方承担。</w:t>
      </w:r>
    </w:p>
    <w:p w14:paraId="442C53C8">
      <w:pPr>
        <w:spacing w:after="50" w:line="252" w:lineRule="auto"/>
        <w:ind w:left="300" w:hanging="300"/>
      </w:pPr>
      <w:r>
        <w:t>7. 如因乙方原因不能按期送货上门安装，延期每日按合同总价万分之三作为违约金赔偿甲方，但违约金总额最高不超过本合同总价款的 5%。</w:t>
      </w:r>
    </w:p>
    <w:p w14:paraId="1DD246ED">
      <w:pPr>
        <w:spacing w:after="50" w:line="252" w:lineRule="auto"/>
        <w:ind w:left="300" w:hanging="300"/>
      </w:pPr>
      <w:r>
        <w:t>8. 因甲方原因逾期提货超过 10 日，每日按合同总金额万分之三支付仓储保管费；逾期满 90 个工作日，乙方有权单方解除合同并处置定制产品；扣除材料费、加工费、仓储费、逾期保管违约金后，剩余货款无息退还甲方，不足弥补损失部分乙方有权另行追偿。</w:t>
      </w:r>
    </w:p>
    <w:p w14:paraId="28341BF5">
      <w:pPr>
        <w:keepNext/>
        <w:pBdr>
          <w:left w:val="single" w:color="000000" w:sz="18" w:space="6"/>
        </w:pBdr>
        <w:shd w:val="clear" w:color="auto" w:fill="F2F2F2"/>
        <w:spacing w:before="140" w:after="60"/>
      </w:pPr>
      <w:r>
        <w:rPr>
          <w:rFonts w:ascii="黑体" w:hAnsi="黑体" w:eastAsia="黑体" w:cs="黑体"/>
          <w:b/>
          <w:bCs/>
          <w:color w:val="000000"/>
          <w:sz w:val="21"/>
          <w:szCs w:val="21"/>
        </w:rPr>
        <w:t>十、附则</w:t>
      </w:r>
    </w:p>
    <w:p w14:paraId="2A88502F">
      <w:pPr>
        <w:spacing w:after="50" w:line="252" w:lineRule="auto"/>
        <w:ind w:left="300" w:hanging="300"/>
      </w:pPr>
      <w:r>
        <w:t>1. 本合同经甲乙双方签字（盖章）后生效。</w:t>
      </w:r>
    </w:p>
    <w:p w14:paraId="4D560262">
      <w:pPr>
        <w:spacing w:after="50" w:line="252" w:lineRule="auto"/>
        <w:ind w:left="300" w:hanging="300"/>
      </w:pPr>
      <w:r>
        <w:t>2. 本合同一式两份，甲方一份，乙方一份，具有同等效力。</w:t>
      </w:r>
    </w:p>
    <w:p w14:paraId="4A795C8C">
      <w:pPr>
        <w:spacing w:after="50" w:line="252" w:lineRule="auto"/>
        <w:ind w:left="300" w:hanging="300"/>
      </w:pPr>
      <w:r>
        <w:t>3. 产品交付甲方验收后，</w:t>
      </w:r>
      <w:r>
        <w:rPr>
          <w:rFonts w:hint="eastAsia"/>
          <w:lang w:val="en-US" w:eastAsia="zh-CN"/>
        </w:rPr>
        <w:t>本</w:t>
      </w:r>
      <w:r>
        <w:t>合同履行完毕自动终止。</w:t>
      </w:r>
    </w:p>
    <w:p w14:paraId="14148758">
      <w:pPr>
        <w:spacing w:after="50" w:line="252" w:lineRule="auto"/>
        <w:ind w:left="300" w:hanging="300"/>
      </w:pPr>
      <w:r>
        <w:t>4. 甲乙双方在本</w:t>
      </w:r>
      <w:r>
        <w:rPr>
          <w:color w:val="0000FF"/>
        </w:rPr>
        <w:t>合同首部约定的</w:t>
      </w:r>
      <w:r>
        <w:t>联系</w:t>
      </w:r>
      <w:r>
        <w:rPr>
          <w:color w:val="0000FF"/>
        </w:rPr>
        <w:t>方式</w:t>
      </w:r>
      <w:r>
        <w:t>为法律文书有效送达地址；任何一方变更联系方式、通讯地址，必须提前书面告知对方，未告知导致文书无法送达的，不利后果由己方自行承担。</w:t>
      </w:r>
    </w:p>
    <w:p w14:paraId="1CB7FC99">
      <w:pPr>
        <w:spacing w:after="50" w:line="252" w:lineRule="auto"/>
        <w:ind w:left="300" w:hanging="300"/>
      </w:pPr>
      <w:r>
        <w:t>5. 本合同双方发生争执，双方协商解决；如有重大分歧，协商不成，提交北京仲裁委员会，按其现行仲裁规则仲裁解决，仲裁裁决对甲乙双方均具有法律约束力。</w:t>
      </w:r>
    </w:p>
    <w:p w14:paraId="0F622ED7">
      <w:pPr>
        <w:pBdr>
          <w:top w:val="single" w:color="000000" w:sz="8" w:space="6"/>
        </w:pBdr>
        <w:spacing w:before="160" w:after="80"/>
        <w:jc w:val="center"/>
      </w:pPr>
      <w:r>
        <w:rPr>
          <w:rFonts w:ascii="黑体" w:hAnsi="黑体" w:eastAsia="黑体" w:cs="黑体"/>
          <w:b/>
          <w:bCs/>
          <w:color w:val="000000"/>
          <w:sz w:val="19"/>
          <w:szCs w:val="19"/>
        </w:rPr>
        <w:t>【以下为电子合同签名及签章区域】</w:t>
      </w:r>
    </w:p>
    <w:p w14:paraId="7000C5B7">
      <w:pPr>
        <w:spacing w:after="50" w:line="252" w:lineRule="auto"/>
      </w:pPr>
      <w:r>
        <w:t>甲乙双方确认已完整阅读本合同全部条款，乙方已对免责、违约、质保、限制责任条款进行充分提示说明，甲方完全理解并自愿签署本合同。</w:t>
      </w:r>
    </w:p>
    <w:p w14:paraId="69106519">
      <w:pPr>
        <w:spacing w:after="50" w:line="252" w:lineRule="auto"/>
        <w:rPr>
          <w:rFonts w:hint="eastAsia"/>
        </w:rPr>
      </w:pPr>
    </w:p>
    <w:p w14:paraId="1169AAD0">
      <w:pPr>
        <w:tabs>
          <w:tab w:val="left" w:pos="5200"/>
        </w:tabs>
        <w:spacing w:before="160" w:after="40"/>
      </w:pPr>
      <w:r>
        <w:rPr>
          <w:rFonts w:hint="eastAsia"/>
          <w:lang w:val="en-US" w:eastAsia="zh-CN"/>
        </w:rPr>
        <w:t>甲方</w:t>
      </w:r>
      <w:r>
        <w:t>盖章：________________</w:t>
      </w:r>
      <w:r>
        <w:tab/>
      </w:r>
      <w:r>
        <w:t>乙方签章：________________</w:t>
      </w:r>
    </w:p>
    <w:p w14:paraId="52F827EC">
      <w:pPr>
        <w:tabs>
          <w:tab w:val="left" w:pos="5200"/>
        </w:tabs>
        <w:spacing w:before="160" w:after="40"/>
      </w:pPr>
    </w:p>
    <w:p w14:paraId="6136B85B">
      <w:pPr>
        <w:tabs>
          <w:tab w:val="left" w:pos="5200"/>
        </w:tabs>
        <w:spacing w:before="160" w:after="40"/>
      </w:pPr>
      <w:r>
        <w:t>签订日期：</w:t>
      </w:r>
      <w:r>
        <w:tab/>
      </w:r>
      <w:r>
        <w:t>签订日期：</w:t>
      </w:r>
    </w:p>
    <w:p w14:paraId="6F9B2CB4">
      <w:pPr>
        <w:tabs>
          <w:tab w:val="left" w:pos="5200"/>
        </w:tabs>
        <w:spacing w:before="160" w:after="40"/>
      </w:pPr>
    </w:p>
    <w:p w14:paraId="7B40992E">
      <w:pPr>
        <w:tabs>
          <w:tab w:val="left" w:pos="5200"/>
        </w:tabs>
        <w:spacing w:before="160" w:after="40"/>
      </w:pPr>
    </w:p>
    <w:p w14:paraId="3596D7C3">
      <w:pPr>
        <w:tabs>
          <w:tab w:val="left" w:pos="5200"/>
        </w:tabs>
        <w:spacing w:before="160" w:after="40"/>
      </w:pPr>
    </w:p>
    <w:p w14:paraId="244FF340">
      <w:pPr>
        <w:tabs>
          <w:tab w:val="left" w:pos="5200"/>
        </w:tabs>
        <w:spacing w:before="160" w:after="40"/>
      </w:pPr>
    </w:p>
    <w:p w14:paraId="626A17B6">
      <w:pPr>
        <w:tabs>
          <w:tab w:val="left" w:pos="5200"/>
        </w:tabs>
        <w:spacing w:before="160" w:after="40"/>
      </w:pPr>
    </w:p>
    <w:p w14:paraId="40BD576C">
      <w:pPr>
        <w:tabs>
          <w:tab w:val="left" w:pos="5200"/>
        </w:tabs>
        <w:spacing w:before="160" w:after="40"/>
      </w:pPr>
    </w:p>
    <w:p w14:paraId="5F9B8929">
      <w:pPr>
        <w:tabs>
          <w:tab w:val="left" w:pos="5200"/>
        </w:tabs>
        <w:spacing w:before="160" w:after="40"/>
      </w:pPr>
    </w:p>
    <w:p w14:paraId="68A67330">
      <w:pPr>
        <w:tabs>
          <w:tab w:val="left" w:pos="5200"/>
        </w:tabs>
        <w:spacing w:before="160" w:after="40"/>
      </w:pPr>
    </w:p>
    <w:p w14:paraId="19564049">
      <w:pPr>
        <w:tabs>
          <w:tab w:val="left" w:pos="5200"/>
        </w:tabs>
        <w:spacing w:before="160" w:after="40"/>
      </w:pPr>
    </w:p>
    <w:p w14:paraId="5966AB24">
      <w:pPr>
        <w:tabs>
          <w:tab w:val="left" w:pos="5200"/>
        </w:tabs>
        <w:spacing w:before="160" w:after="40"/>
      </w:pPr>
    </w:p>
    <w:p w14:paraId="63954627">
      <w:pPr>
        <w:tabs>
          <w:tab w:val="left" w:pos="5200"/>
        </w:tabs>
        <w:spacing w:before="160" w:after="40"/>
      </w:pPr>
    </w:p>
    <w:p w14:paraId="3FEB3972">
      <w:pPr>
        <w:tabs>
          <w:tab w:val="left" w:pos="5200"/>
        </w:tabs>
        <w:spacing w:before="160" w:after="40"/>
      </w:pPr>
    </w:p>
    <w:p w14:paraId="3E35BC47">
      <w:pPr>
        <w:tabs>
          <w:tab w:val="left" w:pos="5200"/>
        </w:tabs>
        <w:spacing w:before="160" w:after="40"/>
      </w:pPr>
    </w:p>
    <w:p w14:paraId="30648BFA">
      <w:pPr>
        <w:tabs>
          <w:tab w:val="left" w:pos="5200"/>
        </w:tabs>
        <w:spacing w:before="160" w:after="40"/>
      </w:pPr>
    </w:p>
    <w:p w14:paraId="76CA9838">
      <w:pPr>
        <w:tabs>
          <w:tab w:val="left" w:pos="5200"/>
        </w:tabs>
        <w:spacing w:before="160" w:after="40"/>
      </w:pPr>
    </w:p>
    <w:p w14:paraId="50CFFEF4">
      <w:pPr>
        <w:tabs>
          <w:tab w:val="left" w:pos="5200"/>
        </w:tabs>
        <w:spacing w:before="160" w:after="40"/>
      </w:pPr>
    </w:p>
    <w:p w14:paraId="6419FA1D">
      <w:pPr>
        <w:tabs>
          <w:tab w:val="left" w:pos="5200"/>
        </w:tabs>
        <w:spacing w:before="160" w:after="40"/>
      </w:pPr>
    </w:p>
    <w:p w14:paraId="5AB82EE9">
      <w:pPr>
        <w:tabs>
          <w:tab w:val="left" w:pos="5200"/>
        </w:tabs>
        <w:spacing w:before="160" w:after="40"/>
      </w:pPr>
    </w:p>
    <w:p w14:paraId="34823BE8">
      <w:pPr>
        <w:tabs>
          <w:tab w:val="left" w:pos="5200"/>
        </w:tabs>
        <w:spacing w:before="160" w:after="40"/>
      </w:pPr>
    </w:p>
    <w:p w14:paraId="1FDB131C">
      <w:pPr>
        <w:tabs>
          <w:tab w:val="left" w:pos="5200"/>
        </w:tabs>
        <w:spacing w:before="160" w:after="40"/>
        <w:rPr>
          <w:rFonts w:hint="eastAsia" w:eastAsia="宋体"/>
          <w:lang w:eastAsia="zh-CN"/>
        </w:rPr>
      </w:pPr>
    </w:p>
    <w:p w14:paraId="181FDFE9">
      <w:pPr>
        <w:tabs>
          <w:tab w:val="left" w:pos="5200"/>
        </w:tabs>
        <w:spacing w:before="160" w:after="40"/>
        <w:rPr>
          <w:rFonts w:hint="eastAsia" w:eastAsia="宋体"/>
          <w:lang w:eastAsia="zh-CN"/>
        </w:rPr>
      </w:pPr>
      <w:r>
        <w:rPr>
          <w:rFonts w:hint="eastAsia" w:eastAsia="宋体"/>
          <w:lang w:eastAsia="zh-CN"/>
        </w:rPr>
        <w:drawing>
          <wp:inline distT="0" distB="0" distL="114300" distR="114300">
            <wp:extent cx="5885180" cy="9249410"/>
            <wp:effectExtent l="0" t="0" r="7620" b="8890"/>
            <wp:docPr id="1" name="图片 1" descr="企业微信截图_17839355323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企业微信截图_17839355323799"/>
                    <pic:cNvPicPr>
                      <a:picLocks noChangeAspect="1"/>
                    </pic:cNvPicPr>
                  </pic:nvPicPr>
                  <pic:blipFill>
                    <a:blip r:embed="rId5"/>
                    <a:stretch>
                      <a:fillRect/>
                    </a:stretch>
                  </pic:blipFill>
                  <pic:spPr>
                    <a:xfrm>
                      <a:off x="0" y="0"/>
                      <a:ext cx="5885180" cy="9249410"/>
                    </a:xfrm>
                    <a:prstGeom prst="rect">
                      <a:avLst/>
                    </a:prstGeom>
                  </pic:spPr>
                </pic:pic>
              </a:graphicData>
            </a:graphic>
          </wp:inline>
        </w:drawing>
      </w:r>
    </w:p>
    <w:sectPr>
      <w:footerReference r:id="rId3" w:type="default"/>
      <w:pgSz w:w="11906" w:h="16838"/>
      <w:pgMar w:top="1134" w:right="1191" w:bottom="1134" w:left="1191"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9EE74">
    <w:pPr>
      <w:pBdr>
        <w:top w:val="single" w:color="999999" w:sz="4" w:space="4"/>
      </w:pBdr>
      <w:jc w:val="center"/>
    </w:pPr>
    <w:r>
      <w:rPr>
        <w:color w:val="808080"/>
        <w:sz w:val="16"/>
        <w:szCs w:val="16"/>
      </w:rPr>
      <w:t xml:space="preserve">几何鸟家居定制产品购货合同书      第 </w:t>
    </w:r>
    <w:r>
      <w:rPr>
        <w:color w:val="808080"/>
        <w:sz w:val="16"/>
        <w:szCs w:val="16"/>
      </w:rPr>
      <w:fldChar w:fldCharType="begin"/>
    </w:r>
    <w:r>
      <w:rPr>
        <w:color w:val="808080"/>
        <w:sz w:val="16"/>
        <w:szCs w:val="16"/>
      </w:rPr>
      <w:instrText xml:space="preserve">PAGE</w:instrText>
    </w:r>
    <w:r>
      <w:rPr>
        <w:color w:val="808080"/>
        <w:sz w:val="16"/>
        <w:szCs w:val="16"/>
      </w:rPr>
      <w:fldChar w:fldCharType="separate"/>
    </w:r>
    <w:r>
      <w:rPr>
        <w:color w:val="808080"/>
        <w:sz w:val="16"/>
        <w:szCs w:val="16"/>
      </w:rPr>
      <w:t>1</w:t>
    </w:r>
    <w:r>
      <w:rPr>
        <w:color w:val="808080"/>
        <w:sz w:val="16"/>
        <w:szCs w:val="16"/>
      </w:rPr>
      <w:fldChar w:fldCharType="end"/>
    </w:r>
    <w:r>
      <w:rPr>
        <w:color w:val="808080"/>
        <w:sz w:val="16"/>
        <w:szCs w:val="16"/>
      </w:rPr>
      <w:t xml:space="preserve"> 页 / 共 </w:t>
    </w:r>
    <w:r>
      <w:rPr>
        <w:color w:val="808080"/>
        <w:sz w:val="16"/>
        <w:szCs w:val="16"/>
      </w:rPr>
      <w:fldChar w:fldCharType="begin"/>
    </w:r>
    <w:r>
      <w:rPr>
        <w:color w:val="808080"/>
        <w:sz w:val="16"/>
        <w:szCs w:val="16"/>
      </w:rPr>
      <w:instrText xml:space="preserve">NUMPAGES</w:instrText>
    </w:r>
    <w:r>
      <w:rPr>
        <w:color w:val="808080"/>
        <w:sz w:val="16"/>
        <w:szCs w:val="16"/>
      </w:rPr>
      <w:fldChar w:fldCharType="separate"/>
    </w:r>
    <w:r>
      <w:rPr>
        <w:color w:val="808080"/>
        <w:sz w:val="16"/>
        <w:szCs w:val="16"/>
      </w:rPr>
      <w:t>2</w:t>
    </w:r>
    <w:r>
      <w:rPr>
        <w:color w:val="808080"/>
        <w:sz w:val="16"/>
        <w:szCs w:val="16"/>
      </w:rPr>
      <w:fldChar w:fldCharType="end"/>
    </w:r>
    <w:r>
      <w:rPr>
        <w:color w:val="808080"/>
        <w:sz w:val="16"/>
        <w:szCs w:val="16"/>
      </w:rP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ABD"/>
    <w:rsid w:val="00967965"/>
    <w:rsid w:val="00BB03CC"/>
    <w:rsid w:val="00EB5ABD"/>
    <w:rsid w:val="03235A23"/>
    <w:rsid w:val="050C0974"/>
    <w:rsid w:val="078E1545"/>
    <w:rsid w:val="07BA233A"/>
    <w:rsid w:val="0C12568E"/>
    <w:rsid w:val="0C185884"/>
    <w:rsid w:val="10875260"/>
    <w:rsid w:val="1360023A"/>
    <w:rsid w:val="14643430"/>
    <w:rsid w:val="1857062E"/>
    <w:rsid w:val="1FAB0A8F"/>
    <w:rsid w:val="22AF0896"/>
    <w:rsid w:val="22B356AC"/>
    <w:rsid w:val="238D0411"/>
    <w:rsid w:val="26681488"/>
    <w:rsid w:val="2DB66F7C"/>
    <w:rsid w:val="2DB82481"/>
    <w:rsid w:val="2E4D693E"/>
    <w:rsid w:val="32313075"/>
    <w:rsid w:val="33C66699"/>
    <w:rsid w:val="34F93F21"/>
    <w:rsid w:val="389F6747"/>
    <w:rsid w:val="3AF343AC"/>
    <w:rsid w:val="3B226450"/>
    <w:rsid w:val="3BF21AC7"/>
    <w:rsid w:val="40EA4B4E"/>
    <w:rsid w:val="411C3143"/>
    <w:rsid w:val="438374A9"/>
    <w:rsid w:val="45C243E2"/>
    <w:rsid w:val="461B1C1B"/>
    <w:rsid w:val="4BD56AD5"/>
    <w:rsid w:val="4C231829"/>
    <w:rsid w:val="4E8A3DE2"/>
    <w:rsid w:val="54A31759"/>
    <w:rsid w:val="54E83610"/>
    <w:rsid w:val="5A005A2D"/>
    <w:rsid w:val="5A3C32C0"/>
    <w:rsid w:val="5D75388F"/>
    <w:rsid w:val="60D85296"/>
    <w:rsid w:val="61830E8F"/>
    <w:rsid w:val="641D655D"/>
    <w:rsid w:val="64243F39"/>
    <w:rsid w:val="70CA1E00"/>
    <w:rsid w:val="770519A8"/>
    <w:rsid w:val="7C72188D"/>
    <w:rsid w:val="7D9F66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sz w:val="18"/>
      <w:szCs w:val="18"/>
      <w:lang w:val="en-US" w:eastAsia="zh-CN" w:bidi="ar-SA"/>
    </w:rPr>
  </w:style>
  <w:style w:type="paragraph" w:styleId="2">
    <w:name w:val="heading 1"/>
    <w:qFormat/>
    <w:uiPriority w:val="9"/>
    <w:pPr>
      <w:outlineLvl w:val="0"/>
    </w:pPr>
    <w:rPr>
      <w:rFonts w:ascii="宋体" w:hAnsi="宋体" w:eastAsia="宋体" w:cs="宋体"/>
      <w:color w:val="2E74B5"/>
      <w:sz w:val="32"/>
      <w:szCs w:val="32"/>
      <w:lang w:val="en-US" w:eastAsia="zh-CN" w:bidi="ar-SA"/>
    </w:rPr>
  </w:style>
  <w:style w:type="paragraph" w:styleId="3">
    <w:name w:val="heading 2"/>
    <w:semiHidden/>
    <w:unhideWhenUsed/>
    <w:qFormat/>
    <w:uiPriority w:val="9"/>
    <w:pPr>
      <w:outlineLvl w:val="1"/>
    </w:pPr>
    <w:rPr>
      <w:rFonts w:ascii="宋体" w:hAnsi="宋体" w:eastAsia="宋体" w:cs="宋体"/>
      <w:color w:val="2E74B5"/>
      <w:sz w:val="26"/>
      <w:szCs w:val="26"/>
      <w:lang w:val="en-US" w:eastAsia="zh-CN" w:bidi="ar-SA"/>
    </w:rPr>
  </w:style>
  <w:style w:type="paragraph" w:styleId="4">
    <w:name w:val="heading 3"/>
    <w:semiHidden/>
    <w:unhideWhenUsed/>
    <w:qFormat/>
    <w:uiPriority w:val="9"/>
    <w:pPr>
      <w:outlineLvl w:val="2"/>
    </w:pPr>
    <w:rPr>
      <w:rFonts w:ascii="宋体" w:hAnsi="宋体" w:eastAsia="宋体" w:cs="宋体"/>
      <w:color w:val="1F4D78"/>
      <w:sz w:val="24"/>
      <w:szCs w:val="24"/>
      <w:lang w:val="en-US" w:eastAsia="zh-CN" w:bidi="ar-SA"/>
    </w:rPr>
  </w:style>
  <w:style w:type="paragraph" w:styleId="5">
    <w:name w:val="heading 4"/>
    <w:semiHidden/>
    <w:unhideWhenUsed/>
    <w:qFormat/>
    <w:uiPriority w:val="9"/>
    <w:pPr>
      <w:outlineLvl w:val="3"/>
    </w:pPr>
    <w:rPr>
      <w:rFonts w:ascii="宋体" w:hAnsi="宋体" w:eastAsia="宋体" w:cs="宋体"/>
      <w:i/>
      <w:iCs/>
      <w:color w:val="2E74B5"/>
      <w:sz w:val="18"/>
      <w:szCs w:val="18"/>
      <w:lang w:val="en-US" w:eastAsia="zh-CN" w:bidi="ar-SA"/>
    </w:rPr>
  </w:style>
  <w:style w:type="paragraph" w:styleId="6">
    <w:name w:val="heading 5"/>
    <w:semiHidden/>
    <w:unhideWhenUsed/>
    <w:qFormat/>
    <w:uiPriority w:val="9"/>
    <w:pPr>
      <w:outlineLvl w:val="4"/>
    </w:pPr>
    <w:rPr>
      <w:rFonts w:ascii="宋体" w:hAnsi="宋体" w:eastAsia="宋体" w:cs="宋体"/>
      <w:color w:val="2E74B5"/>
      <w:sz w:val="18"/>
      <w:szCs w:val="18"/>
      <w:lang w:val="en-US" w:eastAsia="zh-CN" w:bidi="ar-SA"/>
    </w:rPr>
  </w:style>
  <w:style w:type="paragraph" w:styleId="7">
    <w:name w:val="heading 6"/>
    <w:semiHidden/>
    <w:unhideWhenUsed/>
    <w:qFormat/>
    <w:uiPriority w:val="9"/>
    <w:pPr>
      <w:outlineLvl w:val="5"/>
    </w:pPr>
    <w:rPr>
      <w:rFonts w:ascii="宋体" w:hAnsi="宋体" w:eastAsia="宋体" w:cs="宋体"/>
      <w:color w:val="1F4D78"/>
      <w:sz w:val="18"/>
      <w:szCs w:val="18"/>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8">
    <w:name w:val="endnote text"/>
    <w:link w:val="19"/>
    <w:semiHidden/>
    <w:unhideWhenUsed/>
    <w:qFormat/>
    <w:uiPriority w:val="99"/>
    <w:rPr>
      <w:rFonts w:ascii="宋体" w:hAnsi="宋体" w:eastAsia="宋体" w:cs="宋体"/>
      <w:sz w:val="20"/>
      <w:szCs w:val="20"/>
      <w:lang w:val="en-US" w:eastAsia="zh-CN" w:bidi="ar-SA"/>
    </w:rPr>
  </w:style>
  <w:style w:type="paragraph" w:styleId="9">
    <w:name w:val="footnote text"/>
    <w:link w:val="18"/>
    <w:semiHidden/>
    <w:unhideWhenUsed/>
    <w:qFormat/>
    <w:uiPriority w:val="99"/>
    <w:rPr>
      <w:rFonts w:ascii="宋体" w:hAnsi="宋体" w:eastAsia="宋体" w:cs="宋体"/>
      <w:sz w:val="20"/>
      <w:szCs w:val="20"/>
      <w:lang w:val="en-US" w:eastAsia="zh-CN" w:bidi="ar-SA"/>
    </w:rPr>
  </w:style>
  <w:style w:type="paragraph" w:styleId="10">
    <w:name w:val="Title"/>
    <w:qFormat/>
    <w:uiPriority w:val="10"/>
    <w:rPr>
      <w:rFonts w:ascii="宋体" w:hAnsi="宋体" w:eastAsia="宋体" w:cs="宋体"/>
      <w:sz w:val="56"/>
      <w:szCs w:val="56"/>
      <w:lang w:val="en-US" w:eastAsia="zh-CN" w:bidi="ar-SA"/>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customStyle="1" w:styleId="16">
    <w:name w:val="要点1"/>
    <w:qFormat/>
    <w:uiPriority w:val="0"/>
    <w:rPr>
      <w:rFonts w:ascii="宋体" w:hAnsi="宋体" w:eastAsia="宋体" w:cs="宋体"/>
      <w:b/>
      <w:bCs/>
      <w:sz w:val="18"/>
      <w:szCs w:val="18"/>
      <w:lang w:val="en-US" w:eastAsia="zh-CN" w:bidi="ar-SA"/>
    </w:rPr>
  </w:style>
  <w:style w:type="paragraph" w:styleId="17">
    <w:name w:val="List Paragraph"/>
    <w:qFormat/>
    <w:uiPriority w:val="0"/>
    <w:rPr>
      <w:rFonts w:ascii="宋体" w:hAnsi="宋体" w:eastAsia="宋体" w:cs="宋体"/>
      <w:sz w:val="18"/>
      <w:szCs w:val="18"/>
      <w:lang w:val="en-US" w:eastAsia="zh-CN" w:bidi="ar-SA"/>
    </w:rPr>
  </w:style>
  <w:style w:type="character" w:customStyle="1" w:styleId="18">
    <w:name w:val="脚注文本 字符"/>
    <w:link w:val="9"/>
    <w:semiHidden/>
    <w:unhideWhenUsed/>
    <w:qFormat/>
    <w:uiPriority w:val="99"/>
    <w:rPr>
      <w:sz w:val="20"/>
      <w:szCs w:val="20"/>
    </w:rPr>
  </w:style>
  <w:style w:type="character" w:customStyle="1" w:styleId="19">
    <w:name w:val="尾注文本 字符"/>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4591</Words>
  <Characters>4879</Characters>
  <Lines>33</Lines>
  <Paragraphs>9</Paragraphs>
  <TotalTime>33</TotalTime>
  <ScaleCrop>false</ScaleCrop>
  <LinksUpToDate>false</LinksUpToDate>
  <CharactersWithSpaces>4992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2026-06-26T09:25:00Z</dcterms:created>
  <dc:creator>Un-named</dc:creator>
  <cp:lastModifiedBy>白Shou</cp:lastModifiedBy>
  <dcterms:modified xsi:type="dcterms:W3CDTF">2026-07-14T02:06:04Z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C25EBCF000704414B4C08BB3118FEE6E_13</vt:lpwstr>
  </property>
  <property fmtid="{D5CDD505-2E9C-101B-9397-08002B2CF9AE}" pid="4" name="KSOTemplateDocerSaveRecord">
    <vt:lpwstr>eyJoZGlkIjoiY2YzNDViMWQ3Mjk2OTNiZjViOWE3OTZhZjlkMDM3ZDMiLCJ1c2VySWQiOiI3NTI3MjYyNjcifQ==</vt:lpwstr>
  </property>
</Properties>
</file>